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eastAsia="方正小标宋简体" w:cs="Times New Roman"/>
          <w:sz w:val="44"/>
          <w:szCs w:val="44"/>
        </w:rPr>
      </w:pPr>
    </w:p>
    <w:p>
      <w:pPr>
        <w:jc w:val="center"/>
        <w:rPr>
          <w:rFonts w:ascii="方正小标宋简体" w:eastAsia="方正小标宋简体" w:cs="Times New Roman"/>
          <w:sz w:val="44"/>
          <w:szCs w:val="44"/>
        </w:rPr>
      </w:pPr>
    </w:p>
    <w:p>
      <w:pPr>
        <w:jc w:val="center"/>
        <w:rPr>
          <w:rFonts w:ascii="方正小标宋简体" w:eastAsia="方正小标宋简体" w:cs="Times New Roman"/>
          <w:sz w:val="44"/>
          <w:szCs w:val="44"/>
        </w:rPr>
      </w:pPr>
    </w:p>
    <w:p>
      <w:pPr>
        <w:jc w:val="center"/>
        <w:rPr>
          <w:rFonts w:ascii="方正小标宋简体" w:eastAsia="方正小标宋简体" w:cs="Times New Roman"/>
          <w:b/>
          <w:sz w:val="48"/>
          <w:szCs w:val="48"/>
        </w:rPr>
      </w:pPr>
      <w:r>
        <w:rPr>
          <w:rFonts w:hint="eastAsia" w:ascii="方正小标宋简体" w:eastAsia="方正小标宋简体" w:cs="方正小标宋简体"/>
          <w:b/>
          <w:sz w:val="48"/>
          <w:szCs w:val="48"/>
        </w:rPr>
        <w:t>上海市哲学社会科学“十三五”规划</w:t>
      </w:r>
    </w:p>
    <w:p>
      <w:pPr>
        <w:jc w:val="center"/>
        <w:rPr>
          <w:rFonts w:ascii="方正小标宋简体" w:eastAsia="方正小标宋简体" w:cs="Times New Roman"/>
          <w:sz w:val="44"/>
          <w:szCs w:val="44"/>
        </w:rPr>
      </w:pPr>
      <w:r>
        <w:rPr>
          <w:rFonts w:ascii="方正小标宋简体" w:eastAsia="方正小标宋简体" w:cs="方正小标宋简体"/>
          <w:b/>
          <w:sz w:val="48"/>
          <w:szCs w:val="48"/>
        </w:rPr>
        <w:t>20</w:t>
      </w:r>
      <w:r>
        <w:rPr>
          <w:rFonts w:hint="eastAsia" w:ascii="方正小标宋简体" w:eastAsia="方正小标宋简体" w:cs="方正小标宋简体"/>
          <w:b/>
          <w:sz w:val="48"/>
          <w:szCs w:val="48"/>
        </w:rPr>
        <w:t>20年度课题指南</w:t>
      </w:r>
    </w:p>
    <w:p>
      <w:pPr>
        <w:jc w:val="center"/>
        <w:rPr>
          <w:rFonts w:ascii="方正小标宋简体" w:eastAsia="方正小标宋简体" w:cs="Times New Roman"/>
          <w:sz w:val="44"/>
          <w:szCs w:val="44"/>
        </w:rPr>
      </w:pPr>
    </w:p>
    <w:p>
      <w:pPr>
        <w:jc w:val="center"/>
        <w:rPr>
          <w:rFonts w:ascii="方正小标宋简体" w:eastAsia="方正小标宋简体" w:cs="Times New Roman"/>
          <w:sz w:val="44"/>
          <w:szCs w:val="44"/>
        </w:rPr>
      </w:pPr>
    </w:p>
    <w:p>
      <w:pPr>
        <w:jc w:val="center"/>
        <w:rPr>
          <w:rFonts w:ascii="方正小标宋简体" w:eastAsia="方正小标宋简体" w:cs="Times New Roman"/>
          <w:sz w:val="44"/>
          <w:szCs w:val="44"/>
        </w:rPr>
      </w:pPr>
    </w:p>
    <w:p>
      <w:pPr>
        <w:jc w:val="center"/>
        <w:rPr>
          <w:rFonts w:ascii="方正小标宋简体" w:eastAsia="方正小标宋简体" w:cs="Times New Roman"/>
          <w:sz w:val="44"/>
          <w:szCs w:val="44"/>
        </w:rPr>
      </w:pPr>
    </w:p>
    <w:p>
      <w:pPr>
        <w:jc w:val="center"/>
        <w:rPr>
          <w:rFonts w:ascii="方正小标宋简体" w:eastAsia="方正小标宋简体" w:cs="Times New Roman"/>
          <w:sz w:val="44"/>
          <w:szCs w:val="44"/>
        </w:rPr>
      </w:pPr>
    </w:p>
    <w:p>
      <w:pPr>
        <w:jc w:val="center"/>
        <w:rPr>
          <w:rFonts w:ascii="方正小标宋简体" w:eastAsia="方正小标宋简体" w:cs="Times New Roman"/>
          <w:sz w:val="44"/>
          <w:szCs w:val="44"/>
        </w:rPr>
      </w:pPr>
    </w:p>
    <w:p>
      <w:pPr>
        <w:jc w:val="center"/>
        <w:rPr>
          <w:rFonts w:ascii="方正小标宋简体" w:eastAsia="方正小标宋简体" w:cs="Times New Roman"/>
          <w:sz w:val="44"/>
          <w:szCs w:val="44"/>
        </w:rPr>
      </w:pPr>
    </w:p>
    <w:p>
      <w:pPr>
        <w:jc w:val="center"/>
        <w:rPr>
          <w:rFonts w:ascii="楷体_GB2312" w:eastAsia="楷体_GB2312" w:cs="Times New Roman"/>
          <w:b/>
          <w:bCs/>
          <w:sz w:val="32"/>
          <w:szCs w:val="32"/>
        </w:rPr>
      </w:pPr>
      <w:r>
        <w:rPr>
          <w:rFonts w:hint="eastAsia" w:ascii="楷体_GB2312" w:eastAsia="楷体_GB2312" w:cs="楷体_GB2312"/>
          <w:b/>
          <w:bCs/>
          <w:sz w:val="32"/>
          <w:szCs w:val="32"/>
        </w:rPr>
        <w:t>上海市哲学社会科学规划办公室</w:t>
      </w:r>
    </w:p>
    <w:p>
      <w:pPr>
        <w:jc w:val="center"/>
        <w:rPr>
          <w:rFonts w:ascii="楷体_GB2312" w:eastAsia="楷体_GB2312" w:cs="楷体_GB2312"/>
          <w:b/>
          <w:bCs/>
          <w:sz w:val="32"/>
          <w:szCs w:val="32"/>
        </w:rPr>
      </w:pPr>
      <w:r>
        <w:rPr>
          <w:rFonts w:ascii="楷体_GB2312" w:eastAsia="楷体_GB2312" w:cs="楷体_GB2312"/>
          <w:b/>
          <w:bCs/>
          <w:sz w:val="32"/>
          <w:szCs w:val="32"/>
        </w:rPr>
        <w:t>20</w:t>
      </w:r>
      <w:r>
        <w:rPr>
          <w:rFonts w:hint="eastAsia" w:ascii="楷体_GB2312" w:eastAsia="楷体_GB2312" w:cs="楷体_GB2312"/>
          <w:b/>
          <w:bCs/>
          <w:sz w:val="32"/>
          <w:szCs w:val="32"/>
        </w:rPr>
        <w:t>20年7月</w:t>
      </w:r>
    </w:p>
    <w:p>
      <w:pPr>
        <w:jc w:val="center"/>
        <w:rPr>
          <w:rFonts w:ascii="楷体_GB2312" w:eastAsia="楷体_GB2312" w:cs="楷体_GB2312"/>
          <w:b/>
          <w:bCs/>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pgNumType w:fmt="numberInDash"/>
          <w:cols w:space="425" w:num="1"/>
          <w:titlePg/>
          <w:docGrid w:type="lines" w:linePitch="312" w:charSpace="0"/>
        </w:sectPr>
      </w:pPr>
      <w:r>
        <w:rPr>
          <w:rFonts w:ascii="楷体_GB2312" w:eastAsia="楷体_GB2312" w:cs="楷体_GB2312"/>
          <w:b/>
          <w:bCs/>
          <w:sz w:val="32"/>
          <w:szCs w:val="32"/>
        </w:rPr>
        <w:br w:type="page"/>
      </w:r>
    </w:p>
    <w:p>
      <w:pPr>
        <w:adjustRightInd w:val="0"/>
        <w:snapToGrid w:val="0"/>
        <w:spacing w:line="360" w:lineRule="auto"/>
        <w:ind w:firstLine="422" w:firstLineChars="200"/>
        <w:rPr>
          <w:rFonts w:ascii="方正小标宋简体" w:eastAsia="方正小标宋简体" w:cs="方正小标宋简体"/>
          <w:b/>
          <w:bCs/>
        </w:rPr>
      </w:pPr>
      <w:bookmarkStart w:id="0" w:name="_Toc482696864"/>
      <w:bookmarkStart w:id="1" w:name="_Toc411928745"/>
      <w:bookmarkStart w:id="2" w:name="_Toc444002855"/>
    </w:p>
    <w:p>
      <w:pPr>
        <w:pStyle w:val="2"/>
        <w:jc w:val="center"/>
        <w:rPr>
          <w:rFonts w:ascii="方正小标宋简体" w:eastAsia="方正小标宋简体"/>
          <w:b w:val="0"/>
          <w:bCs w:val="0"/>
        </w:rPr>
      </w:pPr>
      <w:r>
        <w:rPr>
          <w:rFonts w:hint="eastAsia" w:ascii="方正小标宋简体" w:eastAsia="方正小标宋简体" w:cs="方正小标宋简体"/>
          <w:b w:val="0"/>
          <w:bCs w:val="0"/>
        </w:rPr>
        <w:t>申报说明</w:t>
      </w:r>
      <w:bookmarkEnd w:id="0"/>
      <w:bookmarkEnd w:id="1"/>
      <w:bookmarkEnd w:id="2"/>
    </w:p>
    <w:p>
      <w:pPr>
        <w:adjustRightInd w:val="0"/>
        <w:snapToGrid w:val="0"/>
        <w:spacing w:line="360" w:lineRule="auto"/>
        <w:ind w:firstLine="600" w:firstLineChars="200"/>
        <w:rPr>
          <w:rFonts w:ascii="仿宋_GB2312" w:eastAsia="仿宋_GB2312" w:cs="仿宋_GB2312"/>
          <w:sz w:val="30"/>
          <w:szCs w:val="30"/>
        </w:rPr>
      </w:pPr>
      <w:r>
        <w:rPr>
          <w:rFonts w:hint="eastAsia" w:ascii="仿宋_GB2312" w:eastAsia="仿宋_GB2312" w:cs="仿宋_GB2312"/>
          <w:sz w:val="30"/>
          <w:szCs w:val="30"/>
        </w:rPr>
        <w:t xml:space="preserve">一、申报上海市哲学社会科学规划课题的指导思想是，高举中国特色社会主义伟大旗帜，全面贯彻党的十九大和十九届二中、三中、四中全会精神，以马克思列宁主义、毛泽东思想、邓小平理论、“三个代表”重要思想、科学发展观、习近平新时代中国特色社会主义思想为指导，坚持解放思想、实事求是、与时俱进、求真务实，坚持以重大理论和现实问题为主攻方向，坚持基础研究与应用研究并重，注重新兴边缘交叉学科和跨学科综合研究，着力用当代马克思主义凝聚思想共识，努力构建中国特色的哲学社会科学，发挥上海市哲学社会科学规划课题的示范引导作用，推动哲学社会科学为党和政府决策服务，为社会主义文化大发展大繁荣服务。 </w:t>
      </w:r>
    </w:p>
    <w:p>
      <w:pPr>
        <w:adjustRightInd w:val="0"/>
        <w:snapToGrid w:val="0"/>
        <w:spacing w:line="360" w:lineRule="auto"/>
        <w:ind w:firstLine="600" w:firstLineChars="200"/>
        <w:rPr>
          <w:rFonts w:ascii="仿宋_GB2312" w:eastAsia="仿宋_GB2312" w:cs="仿宋_GB2312"/>
          <w:sz w:val="30"/>
          <w:szCs w:val="30"/>
        </w:rPr>
      </w:pPr>
      <w:r>
        <w:rPr>
          <w:rFonts w:hint="eastAsia" w:ascii="仿宋_GB2312" w:eastAsia="仿宋_GB2312" w:cs="仿宋_GB2312"/>
          <w:sz w:val="30"/>
          <w:szCs w:val="30"/>
        </w:rPr>
        <w:t>二、《上海市哲学社会科学“十三五”规划</w:t>
      </w:r>
      <w:r>
        <w:rPr>
          <w:rFonts w:ascii="仿宋_GB2312" w:eastAsia="仿宋_GB2312" w:cs="仿宋_GB2312"/>
          <w:sz w:val="30"/>
          <w:szCs w:val="30"/>
        </w:rPr>
        <w:t>20</w:t>
      </w:r>
      <w:r>
        <w:rPr>
          <w:rFonts w:hint="eastAsia" w:ascii="仿宋_GB2312" w:eastAsia="仿宋_GB2312" w:cs="仿宋_GB2312"/>
          <w:sz w:val="30"/>
          <w:szCs w:val="30"/>
        </w:rPr>
        <w:t>20年度课题指南》（以下简称《课题指南》）指导上海市哲学社会科学规划各类课题申报。2020年上海市哲学社会科学规划年度课题设一般课题和青年课题两类，面向全市公开招标，公平竞争，择优立项。一般课题资助经费为每项8万元，青年课题资助经费为每项6万元。</w:t>
      </w:r>
    </w:p>
    <w:p>
      <w:pPr>
        <w:adjustRightInd w:val="0"/>
        <w:snapToGrid w:val="0"/>
        <w:spacing w:line="360" w:lineRule="auto"/>
        <w:ind w:firstLine="600" w:firstLineChars="200"/>
        <w:rPr>
          <w:rFonts w:ascii="仿宋_GB2312" w:eastAsia="仿宋_GB2312" w:cs="仿宋_GB2312"/>
          <w:sz w:val="30"/>
          <w:szCs w:val="30"/>
        </w:rPr>
      </w:pPr>
      <w:r>
        <w:rPr>
          <w:rFonts w:hint="eastAsia" w:ascii="仿宋_GB2312" w:eastAsia="仿宋_GB2312" w:cs="仿宋_GB2312"/>
          <w:sz w:val="30"/>
          <w:szCs w:val="30"/>
        </w:rPr>
        <w:t>三、课题申请人须具备下列条件：遵守中华人民共和国宪法和法律；在上海市工作或者居住；具有独立开展研究和组织开展研究的能力，能够承担实质性研究工作；年龄不超过35周岁（1985年7月31日后出生）的青年科研人员可以申请青年课题；申请人可以根据研究的实际需要自主确定研究团队，但必须征得参与人本人同意并签字确认，否则视为违规申报；正式受聘于本市高校和科研院所等的港澳台研究人员，可以根据相关条件申请上海市哲学社会科学规划各类课题；在站博士后人员均可申请市社科规划课题，其中在职博士后可从所在工作单位或博士后工作站申请，全脱产博士后从所在博士后工作站申请；全日制在读研究生不能申请。(</w:t>
      </w:r>
      <w:r>
        <w:rPr>
          <w:rFonts w:hint="eastAsia" w:ascii="楷体_GB2312" w:eastAsia="楷体_GB2312" w:cs="仿宋_GB2312"/>
          <w:sz w:val="30"/>
          <w:szCs w:val="30"/>
        </w:rPr>
        <w:t>不具有副高级以上专业技术职称或未获得博士学位的科研人员可直接申报一般课题或青年课题，不再要求正高级专业技术职称的同行专家书面推荐。</w:t>
      </w:r>
      <w:r>
        <w:rPr>
          <w:rFonts w:hint="eastAsia" w:ascii="仿宋_GB2312" w:eastAsia="仿宋_GB2312" w:cs="仿宋_GB2312"/>
          <w:sz w:val="30"/>
          <w:szCs w:val="30"/>
        </w:rPr>
        <w:t>)</w:t>
      </w:r>
    </w:p>
    <w:p>
      <w:pPr>
        <w:adjustRightInd w:val="0"/>
        <w:snapToGrid w:val="0"/>
        <w:spacing w:line="360" w:lineRule="auto"/>
        <w:ind w:firstLine="600" w:firstLineChars="200"/>
        <w:rPr>
          <w:rFonts w:ascii="仿宋_GB2312" w:eastAsia="仿宋_GB2312" w:cs="仿宋_GB2312"/>
          <w:sz w:val="30"/>
          <w:szCs w:val="30"/>
        </w:rPr>
      </w:pPr>
      <w:r>
        <w:rPr>
          <w:rFonts w:hint="eastAsia" w:ascii="仿宋_GB2312" w:eastAsia="仿宋_GB2312" w:cs="仿宋_GB2312"/>
          <w:sz w:val="30"/>
          <w:szCs w:val="30"/>
        </w:rPr>
        <w:t>四、课题申请单位须符合以下条件：在相关领域具有较雄厚的学术资源和研究实力；设有科研管理职能部门；能够提供开展研究的必要条件并承诺信誉保证；以兼职人员身份从兼职单位申报市社科规划课题的，兼职单位须审核兼职人员正式聘用关系的真实性，承担课题管理职责并承诺信誉保证；鼓励社会智库参与申报各类市社科规划课题。</w:t>
      </w:r>
    </w:p>
    <w:p>
      <w:pPr>
        <w:adjustRightInd w:val="0"/>
        <w:snapToGrid w:val="0"/>
        <w:spacing w:line="360" w:lineRule="auto"/>
        <w:ind w:firstLine="600" w:firstLineChars="200"/>
        <w:rPr>
          <w:rFonts w:ascii="仿宋_GB2312" w:eastAsia="仿宋_GB2312" w:cs="仿宋_GB2312"/>
          <w:sz w:val="30"/>
          <w:szCs w:val="30"/>
        </w:rPr>
      </w:pPr>
      <w:r>
        <w:rPr>
          <w:rFonts w:hint="eastAsia" w:ascii="仿宋_GB2312" w:eastAsia="仿宋_GB2312" w:cs="仿宋_GB2312"/>
          <w:sz w:val="30"/>
          <w:szCs w:val="30"/>
        </w:rPr>
        <w:t>五、课题申报范围</w:t>
      </w:r>
    </w:p>
    <w:p>
      <w:pPr>
        <w:adjustRightInd w:val="0"/>
        <w:snapToGrid w:val="0"/>
        <w:spacing w:line="360" w:lineRule="auto"/>
        <w:ind w:firstLine="600" w:firstLineChars="200"/>
        <w:rPr>
          <w:rFonts w:ascii="仿宋_GB2312" w:eastAsia="仿宋_GB2312" w:cs="仿宋_GB2312"/>
          <w:sz w:val="30"/>
          <w:szCs w:val="30"/>
        </w:rPr>
      </w:pPr>
      <w:r>
        <w:rPr>
          <w:rFonts w:hint="eastAsia" w:ascii="仿宋_GB2312" w:eastAsia="仿宋_GB2312" w:cs="仿宋_GB2312"/>
          <w:sz w:val="30"/>
          <w:szCs w:val="30"/>
        </w:rPr>
        <w:t>1．课题申报按学科进行，学科选择参见《上海市哲学社会科学规划课题申报数据代码表》中的学科分类目录。跨学科研究选题要以“靠近优先”原则，选择一个学科进行申报。</w:t>
      </w:r>
    </w:p>
    <w:p>
      <w:pPr>
        <w:adjustRightInd w:val="0"/>
        <w:snapToGrid w:val="0"/>
        <w:spacing w:line="360" w:lineRule="auto"/>
        <w:ind w:firstLine="600" w:firstLineChars="200"/>
        <w:rPr>
          <w:rFonts w:ascii="仿宋_GB2312" w:eastAsia="仿宋_GB2312" w:cs="仿宋_GB2312"/>
          <w:sz w:val="30"/>
          <w:szCs w:val="30"/>
        </w:rPr>
      </w:pPr>
      <w:r>
        <w:rPr>
          <w:rFonts w:hint="eastAsia" w:ascii="仿宋_GB2312" w:eastAsia="仿宋_GB2312" w:cs="仿宋_GB2312"/>
          <w:sz w:val="30"/>
          <w:szCs w:val="30"/>
        </w:rPr>
        <w:t>2．《课题指南》围绕深入学习贯彻习近平新时代中国特色社会主义思想，根据本市全面学习贯彻落实习近平总书记考察上海重要讲话精神，全面贯彻落实党的十九大和十九届二中、三中、四中全会精神，加快构建中国特色哲学社会科学，加快推进“三大任务、一大平台”国家战略，奋力创造新时代上海发展新奇迹的需要，拟定一批重点方向性研究选题。选题只规定研究范围和方向，申请人可根据自己的研究专长和研究基础，选择不同的研究角度、方法和侧重点，自行设计具体题目进行申报。</w:t>
      </w:r>
    </w:p>
    <w:p>
      <w:pPr>
        <w:adjustRightInd w:val="0"/>
        <w:snapToGrid w:val="0"/>
        <w:spacing w:line="360" w:lineRule="auto"/>
        <w:ind w:firstLine="600" w:firstLineChars="200"/>
        <w:rPr>
          <w:rFonts w:ascii="仿宋_GB2312" w:eastAsia="仿宋_GB2312" w:cs="仿宋_GB2312"/>
          <w:sz w:val="30"/>
          <w:szCs w:val="30"/>
        </w:rPr>
      </w:pPr>
      <w:r>
        <w:rPr>
          <w:rFonts w:hint="eastAsia" w:ascii="仿宋_GB2312" w:eastAsia="仿宋_GB2312" w:cs="仿宋_GB2312"/>
          <w:sz w:val="30"/>
          <w:szCs w:val="30"/>
        </w:rPr>
        <w:t>3．各学科均鼓励申请人根据研究兴趣和学术积累申报自选课题。自选课题应符合本次课题招标的指导思想和基本要求，充分反映所在学科及相关研究领域的最新进展，力求居于学科前沿。基础研究要具有原创性、开拓性和较高的学术价值，应用研究要具有现实性、针对性和较强的决策参考价值，着力推出体现国家水准和本市水平的研究成果。自选课题与按《课题指南》申报的选题在评审程序、评审标准、立项指标、资助强度等方面同样对待。</w:t>
      </w:r>
    </w:p>
    <w:p>
      <w:pPr>
        <w:adjustRightInd w:val="0"/>
        <w:snapToGrid w:val="0"/>
        <w:spacing w:line="360" w:lineRule="auto"/>
        <w:ind w:firstLine="600" w:firstLineChars="200"/>
        <w:rPr>
          <w:rFonts w:ascii="仿宋_GB2312" w:eastAsia="仿宋_GB2312" w:cs="仿宋_GB2312"/>
          <w:sz w:val="30"/>
          <w:szCs w:val="30"/>
        </w:rPr>
      </w:pPr>
      <w:r>
        <w:rPr>
          <w:rFonts w:hint="eastAsia" w:ascii="仿宋_GB2312" w:eastAsia="仿宋_GB2312" w:cs="仿宋_GB2312"/>
          <w:sz w:val="30"/>
          <w:szCs w:val="30"/>
        </w:rPr>
        <w:t>六、课题研究时限一般不超过3年，其中时效性较强的应用类课题要求在立项后1年内完成；基础类课题一般为2－3年内完成。</w:t>
      </w:r>
    </w:p>
    <w:p>
      <w:pPr>
        <w:adjustRightInd w:val="0"/>
        <w:snapToGrid w:val="0"/>
        <w:spacing w:line="360" w:lineRule="auto"/>
        <w:ind w:firstLine="600" w:firstLineChars="200"/>
        <w:rPr>
          <w:rFonts w:ascii="仿宋_GB2312" w:eastAsia="仿宋_GB2312" w:cs="仿宋_GB2312"/>
          <w:sz w:val="30"/>
          <w:szCs w:val="30"/>
        </w:rPr>
      </w:pPr>
      <w:r>
        <w:rPr>
          <w:rFonts w:hint="eastAsia" w:ascii="仿宋_GB2312" w:eastAsia="仿宋_GB2312" w:cs="仿宋_GB2312"/>
          <w:sz w:val="30"/>
          <w:szCs w:val="30"/>
        </w:rPr>
        <w:t>七、为避免一题多报、交叉申请和重复立项，确保申请人有足够的时间和精力从事课题研究，2020年度市社科规划课题申请作出如下限定：</w:t>
      </w:r>
    </w:p>
    <w:p>
      <w:pPr>
        <w:adjustRightInd w:val="0"/>
        <w:snapToGrid w:val="0"/>
        <w:spacing w:line="360" w:lineRule="auto"/>
        <w:ind w:firstLine="600" w:firstLineChars="200"/>
        <w:rPr>
          <w:rFonts w:ascii="仿宋_GB2312" w:eastAsia="仿宋_GB2312" w:cs="仿宋_GB2312"/>
          <w:sz w:val="30"/>
          <w:szCs w:val="30"/>
        </w:rPr>
      </w:pPr>
      <w:r>
        <w:rPr>
          <w:rFonts w:hint="eastAsia" w:ascii="仿宋_GB2312" w:eastAsia="仿宋_GB2312" w:cs="仿宋_GB2312"/>
          <w:sz w:val="30"/>
          <w:szCs w:val="30"/>
        </w:rPr>
        <w:t>1．课题申请人同年度只能申报一项市社科规划课题，且不能作为课题组成员参与其他市社科规划课题的申请；课题组成员同年度最多参与两项市社科规划课题申请；在研课题的课题组成员最多参与一项市社科规划课题申请。</w:t>
      </w:r>
    </w:p>
    <w:p>
      <w:pPr>
        <w:adjustRightInd w:val="0"/>
        <w:snapToGrid w:val="0"/>
        <w:spacing w:line="360" w:lineRule="auto"/>
        <w:ind w:firstLine="600" w:firstLineChars="200"/>
        <w:rPr>
          <w:rFonts w:ascii="仿宋_GB2312" w:eastAsia="仿宋_GB2312" w:cs="仿宋_GB2312"/>
          <w:sz w:val="30"/>
          <w:szCs w:val="30"/>
        </w:rPr>
      </w:pPr>
      <w:r>
        <w:rPr>
          <w:rFonts w:hint="eastAsia" w:ascii="仿宋_GB2312" w:eastAsia="仿宋_GB2312" w:cs="仿宋_GB2312"/>
          <w:sz w:val="30"/>
          <w:szCs w:val="30"/>
        </w:rPr>
        <w:t>2．在研国家社科基金项目、国家自然科学基金项目、市社科规划课题以及其他国家级、省部级课题负责人不能申请新的市社科规划课题。</w:t>
      </w:r>
    </w:p>
    <w:p>
      <w:pPr>
        <w:adjustRightInd w:val="0"/>
        <w:snapToGrid w:val="0"/>
        <w:spacing w:line="360" w:lineRule="auto"/>
        <w:ind w:firstLine="600" w:firstLineChars="200"/>
        <w:rPr>
          <w:rFonts w:ascii="仿宋_GB2312" w:eastAsia="仿宋_GB2312" w:cs="仿宋_GB2312"/>
          <w:sz w:val="30"/>
          <w:szCs w:val="30"/>
        </w:rPr>
      </w:pPr>
      <w:r>
        <w:rPr>
          <w:rFonts w:hint="eastAsia" w:ascii="仿宋_GB2312" w:eastAsia="仿宋_GB2312" w:cs="仿宋_GB2312"/>
          <w:sz w:val="30"/>
          <w:szCs w:val="30"/>
        </w:rPr>
        <w:t>3．申报市社科规划课题的课题申请人同年度申报国家社科基金项目、国家自然科学基金以及其他国家级科研项目的，其课题组成员不能以内容相同或相近选题申报市社科规划课题。若课题申请人申报的本年度国家级项目获得立项资助，所申报的市社科规划课题不再予以立项。</w:t>
      </w:r>
    </w:p>
    <w:p>
      <w:pPr>
        <w:adjustRightInd w:val="0"/>
        <w:snapToGrid w:val="0"/>
        <w:spacing w:line="360" w:lineRule="auto"/>
        <w:ind w:firstLine="600" w:firstLineChars="200"/>
        <w:rPr>
          <w:rFonts w:ascii="仿宋_GB2312" w:eastAsia="仿宋_GB2312" w:cs="仿宋_GB2312"/>
          <w:sz w:val="30"/>
          <w:szCs w:val="30"/>
        </w:rPr>
      </w:pPr>
      <w:r>
        <w:rPr>
          <w:rFonts w:hint="eastAsia" w:ascii="仿宋_GB2312" w:eastAsia="仿宋_GB2312" w:cs="仿宋_GB2312"/>
          <w:sz w:val="30"/>
          <w:szCs w:val="30"/>
        </w:rPr>
        <w:t>4．凡在内容上与在研或已结项的各级各类项目有较大关联的申请课题，须在《申请书》中详细注明所申请课题与已承担项目的联系和区别，否则视为重复申请。不得以内容基本相同或相近的同一成果申请多项课题结项。</w:t>
      </w:r>
    </w:p>
    <w:p>
      <w:pPr>
        <w:adjustRightInd w:val="0"/>
        <w:snapToGrid w:val="0"/>
        <w:spacing w:line="360" w:lineRule="auto"/>
        <w:ind w:firstLine="600" w:firstLineChars="200"/>
        <w:rPr>
          <w:rFonts w:ascii="仿宋_GB2312" w:eastAsia="仿宋_GB2312" w:cs="仿宋_GB2312"/>
          <w:sz w:val="30"/>
          <w:szCs w:val="30"/>
        </w:rPr>
      </w:pPr>
      <w:r>
        <w:rPr>
          <w:rFonts w:hint="eastAsia" w:ascii="仿宋_GB2312" w:eastAsia="仿宋_GB2312" w:cs="仿宋_GB2312"/>
          <w:sz w:val="30"/>
          <w:szCs w:val="30"/>
        </w:rPr>
        <w:t>5．凡以博士学位论文或博士后出站报告为基础申报市社科规划课题的，须在《申请书》中注明所申请课题与学位论文（出站报告）的联系和区别，申请鉴定结项时提交学位论文（出站报告）原件。</w:t>
      </w:r>
    </w:p>
    <w:p>
      <w:pPr>
        <w:adjustRightInd w:val="0"/>
        <w:snapToGrid w:val="0"/>
        <w:spacing w:line="360" w:lineRule="auto"/>
        <w:ind w:firstLine="600" w:firstLineChars="200"/>
        <w:rPr>
          <w:rFonts w:ascii="仿宋_GB2312" w:eastAsia="仿宋_GB2312" w:cs="仿宋_GB2312"/>
          <w:sz w:val="30"/>
          <w:szCs w:val="30"/>
        </w:rPr>
      </w:pPr>
      <w:r>
        <w:rPr>
          <w:rFonts w:hint="eastAsia" w:ascii="仿宋_GB2312" w:eastAsia="仿宋_GB2312" w:cs="仿宋_GB2312"/>
          <w:sz w:val="30"/>
          <w:szCs w:val="30"/>
        </w:rPr>
        <w:t>6．不得以已出版的内容基本相同或相近的研究成果申请市社科规划课题。</w:t>
      </w:r>
    </w:p>
    <w:p>
      <w:pPr>
        <w:adjustRightInd w:val="0"/>
        <w:snapToGrid w:val="0"/>
        <w:spacing w:line="360" w:lineRule="auto"/>
        <w:ind w:firstLine="600" w:firstLineChars="200"/>
        <w:rPr>
          <w:rFonts w:ascii="仿宋_GB2312" w:eastAsia="仿宋_GB2312" w:cs="仿宋_GB2312"/>
          <w:sz w:val="30"/>
          <w:szCs w:val="30"/>
        </w:rPr>
      </w:pPr>
      <w:r>
        <w:rPr>
          <w:rFonts w:hint="eastAsia" w:ascii="仿宋_GB2312" w:eastAsia="仿宋_GB2312" w:cs="仿宋_GB2312"/>
          <w:sz w:val="30"/>
          <w:szCs w:val="30"/>
        </w:rPr>
        <w:t>7．凡以市社科规划课题名义发表阶段性成果或最终成果，不得同时标注多家基金或项目资助字样。</w:t>
      </w:r>
    </w:p>
    <w:p>
      <w:pPr>
        <w:adjustRightInd w:val="0"/>
        <w:snapToGrid w:val="0"/>
        <w:spacing w:line="360" w:lineRule="auto"/>
        <w:ind w:firstLine="600" w:firstLineChars="200"/>
        <w:rPr>
          <w:rFonts w:ascii="仿宋_GB2312" w:eastAsia="仿宋_GB2312" w:cs="仿宋_GB2312"/>
          <w:sz w:val="30"/>
          <w:szCs w:val="30"/>
        </w:rPr>
      </w:pPr>
      <w:r>
        <w:rPr>
          <w:rFonts w:hint="eastAsia" w:ascii="仿宋_GB2312" w:eastAsia="仿宋_GB2312" w:cs="仿宋_GB2312"/>
          <w:sz w:val="30"/>
          <w:szCs w:val="30"/>
        </w:rPr>
        <w:t>八、课题申报具体要求和注意事项：</w:t>
      </w:r>
    </w:p>
    <w:p>
      <w:pPr>
        <w:adjustRightInd w:val="0"/>
        <w:snapToGrid w:val="0"/>
        <w:spacing w:line="360" w:lineRule="auto"/>
        <w:ind w:firstLine="600" w:firstLineChars="200"/>
        <w:rPr>
          <w:rFonts w:ascii="仿宋_GB2312" w:eastAsia="仿宋_GB2312" w:cs="仿宋_GB2312"/>
          <w:sz w:val="30"/>
          <w:szCs w:val="30"/>
        </w:rPr>
      </w:pPr>
      <w:r>
        <w:rPr>
          <w:rFonts w:hint="eastAsia" w:ascii="仿宋_GB2312" w:eastAsia="仿宋_GB2312" w:cs="仿宋_GB2312"/>
          <w:sz w:val="30"/>
          <w:szCs w:val="30"/>
        </w:rPr>
        <w:t>1．上海市哲学社会科学规划课题采用网上填报方式，申报者须在我办网站的课题申报管理系统中注册个人用户（已注册用户直接登陆系统即可），完成实名认证，补充（更新）个人资料，填写相关课题申报数据，将系统自动生成的课题申请书电子文档打印装订后，送所在单位科研管理部门审核。课题申报所需材料从我办网站（http://www.sh-popss.gov.cn）下载。申请书必须用A3纸双面打印，中缝装订。</w:t>
      </w:r>
    </w:p>
    <w:p>
      <w:pPr>
        <w:adjustRightInd w:val="0"/>
        <w:snapToGrid w:val="0"/>
        <w:spacing w:line="360" w:lineRule="auto"/>
        <w:ind w:firstLine="600" w:firstLineChars="200"/>
        <w:rPr>
          <w:rFonts w:ascii="仿宋_GB2312" w:eastAsia="仿宋_GB2312" w:cs="仿宋_GB2312"/>
          <w:sz w:val="30"/>
          <w:szCs w:val="30"/>
        </w:rPr>
      </w:pPr>
      <w:r>
        <w:rPr>
          <w:rFonts w:hint="eastAsia" w:ascii="仿宋_GB2312" w:eastAsia="仿宋_GB2312" w:cs="仿宋_GB2312"/>
          <w:sz w:val="30"/>
          <w:szCs w:val="30"/>
        </w:rPr>
        <w:t>2．各单位科研管理部门要加强对课题申报工作的组织和指导，保证申报质量，对申请书所有栏目填写的内容，特别是对申报者资格、选题、课题设计的科学性和可行性，课题组是否具有完成研究任务的充分条件，进行认真审核，并签署明确意见。</w:t>
      </w:r>
    </w:p>
    <w:p>
      <w:pPr>
        <w:adjustRightInd w:val="0"/>
        <w:snapToGrid w:val="0"/>
        <w:spacing w:line="360" w:lineRule="auto"/>
        <w:ind w:firstLine="600" w:firstLineChars="200"/>
        <w:rPr>
          <w:rFonts w:ascii="仿宋_GB2312" w:eastAsia="仿宋_GB2312" w:cs="仿宋_GB2312"/>
          <w:sz w:val="30"/>
          <w:szCs w:val="30"/>
        </w:rPr>
      </w:pPr>
      <w:r>
        <w:rPr>
          <w:rFonts w:hint="eastAsia" w:ascii="仿宋_GB2312" w:eastAsia="仿宋_GB2312" w:cs="仿宋_GB2312"/>
          <w:sz w:val="30"/>
          <w:szCs w:val="30"/>
        </w:rPr>
        <w:t>凡有下列情形之一的，不予受理：</w:t>
      </w:r>
    </w:p>
    <w:p>
      <w:pPr>
        <w:adjustRightInd w:val="0"/>
        <w:snapToGrid w:val="0"/>
        <w:spacing w:line="360" w:lineRule="auto"/>
        <w:ind w:firstLine="600" w:firstLineChars="200"/>
        <w:rPr>
          <w:rFonts w:ascii="仿宋_GB2312" w:eastAsia="仿宋_GB2312" w:cs="仿宋_GB2312"/>
          <w:sz w:val="30"/>
          <w:szCs w:val="30"/>
        </w:rPr>
      </w:pPr>
      <w:r>
        <w:rPr>
          <w:rFonts w:hint="eastAsia" w:ascii="仿宋_GB2312" w:eastAsia="仿宋_GB2312" w:cs="仿宋_GB2312"/>
          <w:sz w:val="30"/>
          <w:szCs w:val="30"/>
        </w:rPr>
        <w:t>（1）申请资格不符合《上海市哲学社会科学规划课题管理办法》相关规定的。</w:t>
      </w:r>
    </w:p>
    <w:p>
      <w:pPr>
        <w:adjustRightInd w:val="0"/>
        <w:snapToGrid w:val="0"/>
        <w:spacing w:line="360" w:lineRule="auto"/>
        <w:ind w:firstLine="600" w:firstLineChars="200"/>
        <w:rPr>
          <w:rFonts w:ascii="仿宋_GB2312" w:eastAsia="仿宋_GB2312" w:cs="仿宋_GB2312"/>
          <w:sz w:val="30"/>
          <w:szCs w:val="30"/>
        </w:rPr>
      </w:pPr>
      <w:r>
        <w:rPr>
          <w:rFonts w:hint="eastAsia" w:ascii="仿宋_GB2312" w:eastAsia="仿宋_GB2312" w:cs="仿宋_GB2312"/>
          <w:sz w:val="30"/>
          <w:szCs w:val="30"/>
        </w:rPr>
        <w:t>（2）选题不符合《课题指南》要求，或不具有重要研究价值的；“课题论证”明显简单草率，填写内容有明显缺项的；无相关前期研究成果或前期研究成果与所申报课题无关的；申请书填写内容（包括申请人及课题组成员的基本情况、前期成果等）不实、弄虚作假，或相关成果存在署名等知识产权争议的。</w:t>
      </w:r>
    </w:p>
    <w:p>
      <w:pPr>
        <w:adjustRightInd w:val="0"/>
        <w:snapToGrid w:val="0"/>
        <w:spacing w:line="360" w:lineRule="auto"/>
        <w:ind w:firstLine="600" w:firstLineChars="200"/>
        <w:rPr>
          <w:rFonts w:ascii="仿宋_GB2312" w:eastAsia="仿宋_GB2312" w:cs="仿宋_GB2312"/>
          <w:sz w:val="30"/>
          <w:szCs w:val="30"/>
        </w:rPr>
      </w:pPr>
      <w:r>
        <w:rPr>
          <w:rFonts w:hint="eastAsia" w:ascii="仿宋_GB2312" w:eastAsia="仿宋_GB2312" w:cs="仿宋_GB2312"/>
          <w:sz w:val="30"/>
          <w:szCs w:val="30"/>
        </w:rPr>
        <w:t>（3）申请人主持的各类国家级和省部级研究项目在2020年7月31日前未获得结项批复的（以结项证书日期为准）。</w:t>
      </w:r>
    </w:p>
    <w:p>
      <w:pPr>
        <w:adjustRightInd w:val="0"/>
        <w:snapToGrid w:val="0"/>
        <w:spacing w:line="360" w:lineRule="auto"/>
        <w:ind w:firstLine="600" w:firstLineChars="200"/>
        <w:rPr>
          <w:rFonts w:ascii="仿宋_GB2312" w:eastAsia="仿宋_GB2312" w:cs="仿宋_GB2312"/>
          <w:sz w:val="30"/>
          <w:szCs w:val="30"/>
        </w:rPr>
      </w:pPr>
      <w:r>
        <w:rPr>
          <w:rFonts w:hint="eastAsia" w:ascii="仿宋_GB2312" w:eastAsia="仿宋_GB2312" w:cs="仿宋_GB2312"/>
          <w:sz w:val="30"/>
          <w:szCs w:val="30"/>
        </w:rPr>
        <w:t>（4）申请人主持的各类国家社科基金项目和市社科规划课题被撤项或终止处理尚在资格限制期内，或有其他信誉不良记录被通报批评的。</w:t>
      </w:r>
    </w:p>
    <w:p>
      <w:pPr>
        <w:adjustRightInd w:val="0"/>
        <w:snapToGrid w:val="0"/>
        <w:spacing w:line="360" w:lineRule="auto"/>
        <w:ind w:firstLine="600" w:firstLineChars="200"/>
        <w:rPr>
          <w:rFonts w:ascii="仿宋_GB2312" w:eastAsia="仿宋_GB2312" w:cs="仿宋_GB2312"/>
          <w:sz w:val="30"/>
          <w:szCs w:val="30"/>
        </w:rPr>
      </w:pPr>
      <w:r>
        <w:rPr>
          <w:rFonts w:hint="eastAsia" w:ascii="仿宋_GB2312" w:eastAsia="仿宋_GB2312" w:cs="仿宋_GB2312"/>
          <w:sz w:val="30"/>
          <w:szCs w:val="30"/>
        </w:rPr>
        <w:t>（5）未按照《申请书》规范填写纸质表格和打印装订的。</w:t>
      </w:r>
    </w:p>
    <w:p>
      <w:pPr>
        <w:adjustRightInd w:val="0"/>
        <w:snapToGrid w:val="0"/>
        <w:spacing w:line="360" w:lineRule="auto"/>
        <w:ind w:firstLine="600" w:firstLineChars="200"/>
        <w:rPr>
          <w:rFonts w:ascii="仿宋_GB2312" w:eastAsia="仿宋_GB2312" w:cs="仿宋_GB2312"/>
          <w:sz w:val="30"/>
          <w:szCs w:val="30"/>
        </w:rPr>
      </w:pPr>
      <w:r>
        <w:rPr>
          <w:rFonts w:hint="eastAsia" w:ascii="仿宋_GB2312" w:eastAsia="仿宋_GB2312" w:cs="仿宋_GB2312"/>
          <w:sz w:val="30"/>
          <w:szCs w:val="30"/>
        </w:rPr>
        <w:t>（6）未按照“课题申报管理系统”要求进行实名认证，或提交的证件信息与用户注册时不符的。</w:t>
      </w:r>
    </w:p>
    <w:p>
      <w:pPr>
        <w:adjustRightInd w:val="0"/>
        <w:snapToGrid w:val="0"/>
        <w:spacing w:line="360" w:lineRule="auto"/>
        <w:ind w:firstLine="600" w:firstLineChars="200"/>
        <w:rPr>
          <w:rFonts w:ascii="仿宋_GB2312" w:eastAsia="仿宋_GB2312" w:cs="仿宋_GB2312"/>
          <w:sz w:val="30"/>
          <w:szCs w:val="30"/>
        </w:rPr>
      </w:pPr>
      <w:r>
        <w:rPr>
          <w:rFonts w:hint="eastAsia" w:ascii="仿宋_GB2312" w:eastAsia="仿宋_GB2312" w:cs="仿宋_GB2312"/>
          <w:sz w:val="30"/>
          <w:szCs w:val="30"/>
        </w:rPr>
        <w:t>（7）未按照“课题申报管理系统”要求在线填写数据，或填报数据与报送的纸质《申请书》“数据表”内容不一致的。</w:t>
      </w:r>
    </w:p>
    <w:p>
      <w:pPr>
        <w:adjustRightInd w:val="0"/>
        <w:snapToGrid w:val="0"/>
        <w:spacing w:line="360" w:lineRule="auto"/>
        <w:ind w:firstLine="600" w:firstLineChars="200"/>
        <w:rPr>
          <w:rFonts w:ascii="仿宋_GB2312" w:eastAsia="仿宋_GB2312" w:cs="仿宋_GB2312"/>
          <w:sz w:val="30"/>
          <w:szCs w:val="30"/>
        </w:rPr>
      </w:pPr>
      <w:r>
        <w:rPr>
          <w:rFonts w:hint="eastAsia" w:ascii="仿宋_GB2312" w:eastAsia="仿宋_GB2312" w:cs="仿宋_GB2312"/>
          <w:sz w:val="30"/>
          <w:szCs w:val="30"/>
        </w:rPr>
        <w:t>3．各单位科研管理部门需对本单位申报者的实名认证信息和网上录入数据进行审核。</w:t>
      </w:r>
    </w:p>
    <w:p>
      <w:pPr>
        <w:adjustRightInd w:val="0"/>
        <w:snapToGrid w:val="0"/>
        <w:spacing w:line="360" w:lineRule="auto"/>
        <w:ind w:firstLine="600" w:firstLineChars="200"/>
        <w:rPr>
          <w:rFonts w:ascii="仿宋_GB2312" w:eastAsia="仿宋_GB2312" w:cs="仿宋_GB2312"/>
          <w:sz w:val="30"/>
          <w:szCs w:val="30"/>
        </w:rPr>
      </w:pPr>
      <w:r>
        <w:rPr>
          <w:rFonts w:hint="eastAsia" w:ascii="仿宋_GB2312" w:eastAsia="仿宋_GB2312" w:cs="仿宋_GB2312"/>
          <w:sz w:val="30"/>
          <w:szCs w:val="30"/>
        </w:rPr>
        <w:t>4．各单位科研管理部门要做好申报材料的汇总和报送工作，保证《申请书》数据填写的准确性和报送材料的完整性。</w:t>
      </w:r>
    </w:p>
    <w:p>
      <w:pPr>
        <w:adjustRightInd w:val="0"/>
        <w:snapToGrid w:val="0"/>
        <w:spacing w:line="360" w:lineRule="auto"/>
        <w:ind w:firstLine="600" w:firstLineChars="200"/>
        <w:rPr>
          <w:rFonts w:ascii="仿宋_GB2312" w:eastAsia="仿宋_GB2312" w:cs="仿宋_GB2312"/>
          <w:sz w:val="30"/>
          <w:szCs w:val="30"/>
        </w:rPr>
      </w:pPr>
      <w:r>
        <w:rPr>
          <w:rFonts w:hint="eastAsia" w:ascii="仿宋_GB2312" w:eastAsia="仿宋_GB2312" w:cs="仿宋_GB2312"/>
          <w:sz w:val="30"/>
          <w:szCs w:val="30"/>
        </w:rPr>
        <w:t>5．课题申报从即日起至2020年7月</w:t>
      </w:r>
      <w:r>
        <w:rPr>
          <w:rFonts w:hint="eastAsia" w:ascii="仿宋_GB2312" w:eastAsia="仿宋_GB2312" w:cs="仿宋_GB2312"/>
          <w:sz w:val="30"/>
          <w:szCs w:val="30"/>
          <w:lang w:val="en-US" w:eastAsia="zh-CN"/>
        </w:rPr>
        <w:t>28</w:t>
      </w:r>
      <w:r>
        <w:rPr>
          <w:rFonts w:hint="eastAsia" w:ascii="仿宋_GB2312" w:eastAsia="仿宋_GB2312" w:cs="仿宋_GB2312"/>
          <w:sz w:val="30"/>
          <w:szCs w:val="30"/>
        </w:rPr>
        <w:t>日止，逾期不予受理。申请人务必于7月20日前提交实名认证信息，以便所在单位科研管理部门集中审核。</w:t>
      </w:r>
      <w:bookmarkStart w:id="3" w:name="_GoBack"/>
      <w:bookmarkEnd w:id="3"/>
    </w:p>
    <w:p>
      <w:pPr>
        <w:adjustRightInd w:val="0"/>
        <w:snapToGrid w:val="0"/>
        <w:spacing w:line="360" w:lineRule="auto"/>
        <w:ind w:firstLine="600" w:firstLineChars="200"/>
        <w:rPr>
          <w:rFonts w:ascii="仿宋_GB2312" w:eastAsia="仿宋_GB2312" w:cs="仿宋_GB2312"/>
          <w:sz w:val="30"/>
          <w:szCs w:val="30"/>
        </w:rPr>
      </w:pPr>
    </w:p>
    <w:p>
      <w:pPr>
        <w:adjustRightInd w:val="0"/>
        <w:snapToGrid w:val="0"/>
        <w:spacing w:line="360" w:lineRule="auto"/>
        <w:jc w:val="center"/>
        <w:rPr>
          <w:rFonts w:ascii="方正小标宋简体" w:eastAsia="方正小标宋简体" w:cs="方正小标宋简体"/>
          <w:b/>
          <w:bCs/>
          <w:sz w:val="36"/>
          <w:szCs w:val="36"/>
        </w:rPr>
      </w:pPr>
      <w:r>
        <w:rPr>
          <w:rFonts w:ascii="仿宋_GB2312" w:hAnsi="新宋体" w:eastAsia="仿宋_GB2312"/>
          <w:sz w:val="32"/>
          <w:szCs w:val="32"/>
        </w:rPr>
        <w:br w:type="page"/>
      </w:r>
    </w:p>
    <w:p>
      <w:pPr>
        <w:pStyle w:val="2"/>
        <w:adjustRightInd w:val="0"/>
        <w:snapToGrid w:val="0"/>
        <w:spacing w:beforeLines="50" w:afterLines="100" w:line="360" w:lineRule="auto"/>
        <w:jc w:val="center"/>
        <w:rPr>
          <w:rFonts w:ascii="方正小标宋简体" w:eastAsia="方正小标宋简体" w:cs="方正小标宋简体"/>
          <w:bCs w:val="0"/>
        </w:rPr>
      </w:pPr>
      <w:r>
        <w:rPr>
          <w:rFonts w:hint="eastAsia" w:ascii="方正小标宋简体" w:eastAsia="方正小标宋简体" w:cs="方正小标宋简体"/>
          <w:bCs w:val="0"/>
        </w:rPr>
        <w:t>2</w:t>
      </w:r>
      <w:r>
        <w:rPr>
          <w:rFonts w:ascii="方正小标宋简体" w:eastAsia="方正小标宋简体" w:cs="方正小标宋简体"/>
          <w:bCs w:val="0"/>
        </w:rPr>
        <w:t>0</w:t>
      </w:r>
      <w:r>
        <w:rPr>
          <w:rFonts w:hint="eastAsia" w:ascii="方正小标宋简体" w:eastAsia="方正小标宋简体" w:cs="方正小标宋简体"/>
          <w:bCs w:val="0"/>
        </w:rPr>
        <w:t>20年度市社科规划课题指南</w:t>
      </w:r>
    </w:p>
    <w:p>
      <w:pPr>
        <w:pStyle w:val="12"/>
        <w:numPr>
          <w:ilvl w:val="3"/>
          <w:numId w:val="1"/>
        </w:numPr>
        <w:adjustRightInd w:val="0"/>
        <w:snapToGrid w:val="0"/>
        <w:spacing w:line="300" w:lineRule="auto"/>
        <w:ind w:left="426" w:firstLineChars="0"/>
        <w:rPr>
          <w:rFonts w:ascii="仿宋_GB2312" w:eastAsia="仿宋_GB2312" w:hAnsiTheme="minorEastAsia"/>
          <w:sz w:val="32"/>
          <w:szCs w:val="32"/>
        </w:rPr>
      </w:pPr>
      <w:r>
        <w:rPr>
          <w:rFonts w:hint="eastAsia" w:ascii="仿宋_GB2312" w:eastAsia="仿宋_GB2312" w:hAnsiTheme="minorEastAsia"/>
          <w:sz w:val="32"/>
          <w:szCs w:val="32"/>
        </w:rPr>
        <w:t>习近平总书记关于上海工作重要论述研究</w:t>
      </w:r>
    </w:p>
    <w:p>
      <w:pPr>
        <w:pStyle w:val="12"/>
        <w:numPr>
          <w:ilvl w:val="3"/>
          <w:numId w:val="1"/>
        </w:numPr>
        <w:adjustRightInd w:val="0"/>
        <w:snapToGrid w:val="0"/>
        <w:spacing w:line="300" w:lineRule="auto"/>
        <w:ind w:left="426" w:firstLineChars="0"/>
        <w:rPr>
          <w:rFonts w:ascii="仿宋_GB2312" w:eastAsia="仿宋_GB2312" w:hAnsiTheme="minorEastAsia"/>
          <w:sz w:val="32"/>
          <w:szCs w:val="32"/>
        </w:rPr>
      </w:pPr>
      <w:r>
        <w:rPr>
          <w:rFonts w:hint="eastAsia" w:ascii="仿宋_GB2312" w:eastAsia="仿宋_GB2312" w:hAnsiTheme="minorEastAsia"/>
          <w:sz w:val="32"/>
          <w:szCs w:val="32"/>
        </w:rPr>
        <w:t>中国共产党建党百年历程、成就与经验研究</w:t>
      </w:r>
    </w:p>
    <w:p>
      <w:pPr>
        <w:pStyle w:val="12"/>
        <w:numPr>
          <w:ilvl w:val="3"/>
          <w:numId w:val="1"/>
        </w:numPr>
        <w:adjustRightInd w:val="0"/>
        <w:snapToGrid w:val="0"/>
        <w:spacing w:line="300" w:lineRule="auto"/>
        <w:ind w:left="426" w:firstLineChars="0"/>
        <w:rPr>
          <w:rFonts w:ascii="仿宋_GB2312" w:eastAsia="仿宋_GB2312" w:hAnsiTheme="minorEastAsia"/>
          <w:sz w:val="32"/>
          <w:szCs w:val="32"/>
        </w:rPr>
      </w:pPr>
      <w:r>
        <w:rPr>
          <w:rFonts w:hint="eastAsia" w:ascii="仿宋_GB2312" w:eastAsia="仿宋_GB2312" w:hAnsiTheme="minorEastAsia"/>
          <w:sz w:val="32"/>
          <w:szCs w:val="32"/>
        </w:rPr>
        <w:t>建立不忘初心、牢记使命长效机制研究</w:t>
      </w:r>
    </w:p>
    <w:p>
      <w:pPr>
        <w:pStyle w:val="12"/>
        <w:numPr>
          <w:ilvl w:val="3"/>
          <w:numId w:val="1"/>
        </w:numPr>
        <w:adjustRightInd w:val="0"/>
        <w:snapToGrid w:val="0"/>
        <w:spacing w:line="300" w:lineRule="auto"/>
        <w:ind w:left="426" w:firstLineChars="0"/>
        <w:rPr>
          <w:rFonts w:ascii="仿宋_GB2312" w:eastAsia="仿宋_GB2312" w:hAnsiTheme="minorEastAsia"/>
          <w:sz w:val="32"/>
          <w:szCs w:val="32"/>
        </w:rPr>
      </w:pPr>
      <w:r>
        <w:rPr>
          <w:rFonts w:hint="eastAsia" w:ascii="仿宋_GB2312" w:eastAsia="仿宋_GB2312" w:hAnsiTheme="minorEastAsia"/>
          <w:snapToGrid w:val="0"/>
          <w:kern w:val="0"/>
          <w:sz w:val="32"/>
          <w:szCs w:val="32"/>
        </w:rPr>
        <w:t>中国共产党初心的当代价值与实现形式研究</w:t>
      </w:r>
    </w:p>
    <w:p>
      <w:pPr>
        <w:pStyle w:val="12"/>
        <w:numPr>
          <w:ilvl w:val="3"/>
          <w:numId w:val="1"/>
        </w:numPr>
        <w:adjustRightInd w:val="0"/>
        <w:snapToGrid w:val="0"/>
        <w:spacing w:line="300" w:lineRule="auto"/>
        <w:ind w:left="426" w:firstLineChars="0"/>
        <w:rPr>
          <w:rFonts w:ascii="仿宋_GB2312" w:eastAsia="仿宋_GB2312" w:hAnsiTheme="minorEastAsia"/>
          <w:sz w:val="32"/>
          <w:szCs w:val="32"/>
        </w:rPr>
      </w:pPr>
      <w:r>
        <w:rPr>
          <w:rFonts w:hint="eastAsia" w:ascii="仿宋_GB2312" w:eastAsia="仿宋_GB2312" w:hAnsiTheme="minorEastAsia"/>
          <w:sz w:val="32"/>
          <w:szCs w:val="32"/>
        </w:rPr>
        <w:t>“人民城市人民建、人民城市为人民”重要理念研究</w:t>
      </w:r>
    </w:p>
    <w:p>
      <w:pPr>
        <w:pStyle w:val="12"/>
        <w:numPr>
          <w:ilvl w:val="3"/>
          <w:numId w:val="1"/>
        </w:numPr>
        <w:adjustRightInd w:val="0"/>
        <w:snapToGrid w:val="0"/>
        <w:spacing w:line="300" w:lineRule="auto"/>
        <w:ind w:left="426" w:firstLineChars="0"/>
        <w:rPr>
          <w:rFonts w:ascii="仿宋_GB2312" w:eastAsia="仿宋_GB2312" w:hAnsiTheme="minorEastAsia"/>
          <w:sz w:val="32"/>
          <w:szCs w:val="32"/>
        </w:rPr>
      </w:pPr>
      <w:r>
        <w:rPr>
          <w:rFonts w:hint="eastAsia" w:ascii="仿宋_GB2312" w:eastAsia="仿宋_GB2312" w:cs="Times New Roman" w:hAnsiTheme="minorEastAsia"/>
          <w:sz w:val="32"/>
          <w:szCs w:val="32"/>
        </w:rPr>
        <w:t>推进国家治理体系和治理能力现代化的上海实践研究</w:t>
      </w:r>
    </w:p>
    <w:p>
      <w:pPr>
        <w:pStyle w:val="12"/>
        <w:numPr>
          <w:ilvl w:val="3"/>
          <w:numId w:val="1"/>
        </w:numPr>
        <w:adjustRightInd w:val="0"/>
        <w:snapToGrid w:val="0"/>
        <w:spacing w:line="300" w:lineRule="auto"/>
        <w:ind w:left="426" w:firstLineChars="0"/>
        <w:rPr>
          <w:rFonts w:ascii="仿宋_GB2312" w:eastAsia="仿宋_GB2312" w:hAnsiTheme="minorEastAsia"/>
          <w:sz w:val="32"/>
          <w:szCs w:val="32"/>
        </w:rPr>
      </w:pPr>
      <w:r>
        <w:rPr>
          <w:rFonts w:hint="eastAsia" w:ascii="仿宋_GB2312" w:eastAsia="仿宋_GB2312" w:hAnsiTheme="minorEastAsia"/>
          <w:snapToGrid w:val="0"/>
          <w:kern w:val="0"/>
          <w:sz w:val="32"/>
          <w:szCs w:val="32"/>
        </w:rPr>
        <w:t>重大疫情防控与上海城市治理能力现代化建设研究</w:t>
      </w:r>
    </w:p>
    <w:p>
      <w:pPr>
        <w:pStyle w:val="12"/>
        <w:numPr>
          <w:ilvl w:val="3"/>
          <w:numId w:val="1"/>
        </w:numPr>
        <w:adjustRightInd w:val="0"/>
        <w:snapToGrid w:val="0"/>
        <w:spacing w:line="300" w:lineRule="auto"/>
        <w:ind w:left="426" w:firstLineChars="0"/>
        <w:rPr>
          <w:rFonts w:ascii="仿宋_GB2312" w:eastAsia="仿宋_GB2312" w:hAnsiTheme="minorEastAsia"/>
          <w:sz w:val="32"/>
          <w:szCs w:val="32"/>
        </w:rPr>
      </w:pPr>
      <w:r>
        <w:rPr>
          <w:rFonts w:hint="eastAsia" w:ascii="仿宋_GB2312" w:eastAsia="仿宋_GB2312" w:hAnsiTheme="minorEastAsia"/>
          <w:snapToGrid w:val="0"/>
          <w:kern w:val="0"/>
          <w:sz w:val="32"/>
          <w:szCs w:val="32"/>
        </w:rPr>
        <w:t>进一步完善上海重大疫情防控体制机制研究</w:t>
      </w:r>
    </w:p>
    <w:p>
      <w:pPr>
        <w:pStyle w:val="12"/>
        <w:numPr>
          <w:ilvl w:val="3"/>
          <w:numId w:val="1"/>
        </w:numPr>
        <w:adjustRightInd w:val="0"/>
        <w:snapToGrid w:val="0"/>
        <w:spacing w:line="300" w:lineRule="auto"/>
        <w:ind w:left="426" w:firstLineChars="0"/>
        <w:rPr>
          <w:rFonts w:ascii="仿宋_GB2312" w:eastAsia="仿宋_GB2312" w:hAnsiTheme="minorEastAsia"/>
          <w:sz w:val="32"/>
          <w:szCs w:val="32"/>
        </w:rPr>
      </w:pPr>
      <w:r>
        <w:rPr>
          <w:rFonts w:hint="eastAsia" w:ascii="仿宋_GB2312" w:eastAsia="仿宋_GB2312" w:hAnsiTheme="minorEastAsia"/>
          <w:sz w:val="32"/>
          <w:szCs w:val="32"/>
        </w:rPr>
        <w:t>进一步健全上海公共卫生应急管理体系研究</w:t>
      </w:r>
    </w:p>
    <w:p>
      <w:pPr>
        <w:pStyle w:val="12"/>
        <w:numPr>
          <w:ilvl w:val="3"/>
          <w:numId w:val="1"/>
        </w:numPr>
        <w:adjustRightInd w:val="0"/>
        <w:snapToGrid w:val="0"/>
        <w:spacing w:line="300" w:lineRule="auto"/>
        <w:ind w:left="426" w:firstLineChars="0"/>
        <w:rPr>
          <w:rFonts w:ascii="仿宋_GB2312" w:eastAsia="仿宋_GB2312" w:hAnsiTheme="minorEastAsia"/>
          <w:sz w:val="32"/>
          <w:szCs w:val="32"/>
        </w:rPr>
      </w:pPr>
      <w:r>
        <w:rPr>
          <w:rFonts w:hint="eastAsia" w:ascii="仿宋_GB2312" w:eastAsia="仿宋_GB2312" w:hAnsiTheme="minorEastAsia"/>
          <w:sz w:val="32"/>
          <w:szCs w:val="32"/>
        </w:rPr>
        <w:t>上海自贸试验区与临港新片区改革协同联动研究</w:t>
      </w:r>
    </w:p>
    <w:p>
      <w:pPr>
        <w:pStyle w:val="12"/>
        <w:numPr>
          <w:ilvl w:val="3"/>
          <w:numId w:val="1"/>
        </w:numPr>
        <w:adjustRightInd w:val="0"/>
        <w:snapToGrid w:val="0"/>
        <w:spacing w:line="300" w:lineRule="auto"/>
        <w:ind w:left="426" w:firstLineChars="0"/>
        <w:rPr>
          <w:rFonts w:ascii="仿宋_GB2312" w:eastAsia="仿宋_GB2312" w:hAnsiTheme="minorEastAsia"/>
          <w:sz w:val="32"/>
          <w:szCs w:val="32"/>
        </w:rPr>
      </w:pPr>
      <w:r>
        <w:rPr>
          <w:rFonts w:hint="eastAsia" w:ascii="仿宋_GB2312" w:eastAsia="仿宋_GB2312" w:hAnsiTheme="minorEastAsia"/>
          <w:sz w:val="32"/>
          <w:szCs w:val="32"/>
        </w:rPr>
        <w:t>上海自贸试验区临港新片区制度创新和风险防范研究</w:t>
      </w:r>
    </w:p>
    <w:p>
      <w:pPr>
        <w:pStyle w:val="12"/>
        <w:numPr>
          <w:ilvl w:val="3"/>
          <w:numId w:val="1"/>
        </w:numPr>
        <w:adjustRightInd w:val="0"/>
        <w:snapToGrid w:val="0"/>
        <w:spacing w:line="300" w:lineRule="auto"/>
        <w:ind w:left="426" w:firstLineChars="0"/>
        <w:rPr>
          <w:rFonts w:ascii="仿宋_GB2312" w:eastAsia="仿宋_GB2312" w:hAnsiTheme="minorEastAsia"/>
          <w:sz w:val="32"/>
          <w:szCs w:val="32"/>
        </w:rPr>
      </w:pPr>
      <w:r>
        <w:rPr>
          <w:rFonts w:hint="eastAsia" w:ascii="仿宋_GB2312" w:eastAsia="仿宋_GB2312" w:hAnsiTheme="minorEastAsia"/>
          <w:sz w:val="32"/>
          <w:szCs w:val="32"/>
        </w:rPr>
        <w:t>深入推进科创板及注册制改革，推动实体经济、科技创新、现代金融协同发展研究</w:t>
      </w:r>
    </w:p>
    <w:p>
      <w:pPr>
        <w:pStyle w:val="12"/>
        <w:numPr>
          <w:ilvl w:val="3"/>
          <w:numId w:val="1"/>
        </w:numPr>
        <w:adjustRightInd w:val="0"/>
        <w:snapToGrid w:val="0"/>
        <w:spacing w:line="300" w:lineRule="auto"/>
        <w:ind w:left="426" w:firstLineChars="0"/>
        <w:rPr>
          <w:rFonts w:ascii="仿宋_GB2312" w:eastAsia="仿宋_GB2312" w:hAnsiTheme="minorEastAsia"/>
          <w:sz w:val="32"/>
          <w:szCs w:val="32"/>
        </w:rPr>
      </w:pPr>
      <w:r>
        <w:rPr>
          <w:rFonts w:hint="eastAsia" w:ascii="仿宋_GB2312" w:eastAsia="仿宋_GB2312" w:hAnsiTheme="minorEastAsia"/>
          <w:sz w:val="32"/>
          <w:szCs w:val="32"/>
        </w:rPr>
        <w:t>持续放大中国国际进口博览会溢出带动效应研究</w:t>
      </w:r>
    </w:p>
    <w:p>
      <w:pPr>
        <w:pStyle w:val="12"/>
        <w:numPr>
          <w:ilvl w:val="3"/>
          <w:numId w:val="1"/>
        </w:numPr>
        <w:adjustRightInd w:val="0"/>
        <w:snapToGrid w:val="0"/>
        <w:spacing w:line="300" w:lineRule="auto"/>
        <w:ind w:left="426" w:firstLineChars="0"/>
        <w:rPr>
          <w:rFonts w:ascii="仿宋_GB2312" w:eastAsia="仿宋_GB2312" w:hAnsiTheme="minorEastAsia"/>
          <w:sz w:val="32"/>
          <w:szCs w:val="32"/>
        </w:rPr>
      </w:pPr>
      <w:r>
        <w:rPr>
          <w:rFonts w:hint="eastAsia" w:ascii="仿宋_GB2312" w:eastAsia="仿宋_GB2312" w:hAnsiTheme="minorEastAsia"/>
          <w:bCs/>
          <w:sz w:val="32"/>
          <w:szCs w:val="32"/>
        </w:rPr>
        <w:t>长三角生态绿色一体化发展示范区建设研究</w:t>
      </w:r>
    </w:p>
    <w:p>
      <w:pPr>
        <w:pStyle w:val="12"/>
        <w:numPr>
          <w:ilvl w:val="3"/>
          <w:numId w:val="1"/>
        </w:numPr>
        <w:adjustRightInd w:val="0"/>
        <w:snapToGrid w:val="0"/>
        <w:spacing w:line="300" w:lineRule="auto"/>
        <w:ind w:left="426" w:firstLineChars="0"/>
        <w:rPr>
          <w:rFonts w:ascii="仿宋_GB2312" w:eastAsia="仿宋_GB2312" w:hAnsiTheme="minorEastAsia"/>
          <w:sz w:val="32"/>
          <w:szCs w:val="32"/>
        </w:rPr>
      </w:pPr>
      <w:r>
        <w:rPr>
          <w:rFonts w:hint="eastAsia" w:ascii="仿宋_GB2312" w:eastAsia="仿宋_GB2312" w:hAnsiTheme="minorEastAsia"/>
          <w:sz w:val="32"/>
          <w:szCs w:val="32"/>
        </w:rPr>
        <w:t>上海强化全球资源配置功能的制度创新研究</w:t>
      </w:r>
    </w:p>
    <w:p>
      <w:pPr>
        <w:pStyle w:val="12"/>
        <w:numPr>
          <w:ilvl w:val="3"/>
          <w:numId w:val="1"/>
        </w:numPr>
        <w:adjustRightInd w:val="0"/>
        <w:snapToGrid w:val="0"/>
        <w:spacing w:line="300" w:lineRule="auto"/>
        <w:ind w:left="426" w:firstLineChars="0"/>
        <w:rPr>
          <w:rFonts w:ascii="仿宋_GB2312" w:eastAsia="仿宋_GB2312" w:hAnsiTheme="minorEastAsia"/>
          <w:sz w:val="32"/>
          <w:szCs w:val="32"/>
        </w:rPr>
      </w:pPr>
      <w:r>
        <w:rPr>
          <w:rFonts w:hint="eastAsia" w:ascii="仿宋_GB2312" w:eastAsia="仿宋_GB2312" w:hAnsiTheme="minorEastAsia"/>
          <w:sz w:val="32"/>
          <w:szCs w:val="32"/>
        </w:rPr>
        <w:t>上海培育科技创新策源功能的基础设施及相关机制研究</w:t>
      </w:r>
    </w:p>
    <w:p>
      <w:pPr>
        <w:pStyle w:val="12"/>
        <w:numPr>
          <w:ilvl w:val="3"/>
          <w:numId w:val="1"/>
        </w:numPr>
        <w:adjustRightInd w:val="0"/>
        <w:snapToGrid w:val="0"/>
        <w:spacing w:line="300" w:lineRule="auto"/>
        <w:ind w:left="426" w:firstLineChars="0"/>
        <w:rPr>
          <w:rFonts w:ascii="仿宋_GB2312" w:eastAsia="仿宋_GB2312" w:hAnsiTheme="minorEastAsia"/>
          <w:sz w:val="32"/>
          <w:szCs w:val="32"/>
        </w:rPr>
      </w:pPr>
      <w:r>
        <w:rPr>
          <w:rFonts w:hint="eastAsia" w:ascii="仿宋_GB2312" w:eastAsia="仿宋_GB2312" w:hAnsiTheme="minorEastAsia"/>
          <w:sz w:val="32"/>
          <w:szCs w:val="32"/>
        </w:rPr>
        <w:t>上海构筑高端产业引领功能的产业体系及其组织体系研究</w:t>
      </w:r>
    </w:p>
    <w:p>
      <w:pPr>
        <w:pStyle w:val="12"/>
        <w:numPr>
          <w:ilvl w:val="3"/>
          <w:numId w:val="1"/>
        </w:numPr>
        <w:adjustRightInd w:val="0"/>
        <w:snapToGrid w:val="0"/>
        <w:spacing w:line="300" w:lineRule="auto"/>
        <w:ind w:left="426" w:firstLineChars="0"/>
        <w:rPr>
          <w:rFonts w:ascii="仿宋_GB2312" w:eastAsia="仿宋_GB2312" w:hAnsiTheme="minorEastAsia"/>
          <w:sz w:val="32"/>
          <w:szCs w:val="32"/>
        </w:rPr>
      </w:pPr>
      <w:r>
        <w:rPr>
          <w:rFonts w:hint="eastAsia" w:ascii="仿宋_GB2312" w:eastAsia="仿宋_GB2312" w:hAnsiTheme="minorEastAsia"/>
          <w:sz w:val="32"/>
          <w:szCs w:val="32"/>
        </w:rPr>
        <w:t>上海扩展开放枢纽门户功能的网络体系研究</w:t>
      </w:r>
    </w:p>
    <w:p>
      <w:pPr>
        <w:pStyle w:val="12"/>
        <w:numPr>
          <w:ilvl w:val="3"/>
          <w:numId w:val="1"/>
        </w:numPr>
        <w:adjustRightInd w:val="0"/>
        <w:snapToGrid w:val="0"/>
        <w:spacing w:line="300" w:lineRule="auto"/>
        <w:ind w:left="426" w:firstLineChars="0"/>
        <w:rPr>
          <w:rFonts w:ascii="仿宋_GB2312" w:eastAsia="仿宋_GB2312" w:hAnsiTheme="minorEastAsia"/>
          <w:sz w:val="32"/>
          <w:szCs w:val="32"/>
        </w:rPr>
      </w:pPr>
      <w:r>
        <w:rPr>
          <w:rFonts w:hint="eastAsia" w:ascii="仿宋_GB2312" w:eastAsia="仿宋_GB2312" w:hAnsiTheme="minorEastAsia"/>
          <w:sz w:val="32"/>
          <w:szCs w:val="32"/>
        </w:rPr>
        <w:t>“十四五”期间全球经济发展趋势及上海应对策略研究</w:t>
      </w:r>
    </w:p>
    <w:p>
      <w:pPr>
        <w:pStyle w:val="12"/>
        <w:numPr>
          <w:ilvl w:val="3"/>
          <w:numId w:val="1"/>
        </w:numPr>
        <w:adjustRightInd w:val="0"/>
        <w:snapToGrid w:val="0"/>
        <w:spacing w:line="300" w:lineRule="auto"/>
        <w:ind w:left="426" w:firstLineChars="0"/>
        <w:rPr>
          <w:rFonts w:ascii="仿宋_GB2312" w:eastAsia="仿宋_GB2312" w:hAnsiTheme="minorEastAsia"/>
          <w:sz w:val="32"/>
          <w:szCs w:val="32"/>
        </w:rPr>
      </w:pPr>
      <w:r>
        <w:rPr>
          <w:rFonts w:hint="eastAsia" w:ascii="仿宋_GB2312" w:eastAsia="仿宋_GB2312" w:hAnsiTheme="minorEastAsia"/>
          <w:snapToGrid w:val="0"/>
          <w:kern w:val="0"/>
          <w:sz w:val="32"/>
          <w:szCs w:val="32"/>
        </w:rPr>
        <w:t>上海统筹疫情防控与经济社会发展研究</w:t>
      </w:r>
    </w:p>
    <w:p>
      <w:pPr>
        <w:pStyle w:val="12"/>
        <w:numPr>
          <w:ilvl w:val="3"/>
          <w:numId w:val="1"/>
        </w:numPr>
        <w:adjustRightInd w:val="0"/>
        <w:snapToGrid w:val="0"/>
        <w:spacing w:line="300" w:lineRule="auto"/>
        <w:ind w:left="426" w:firstLineChars="0"/>
        <w:rPr>
          <w:rFonts w:ascii="仿宋_GB2312" w:eastAsia="仿宋_GB2312" w:hAnsiTheme="minorEastAsia"/>
          <w:sz w:val="32"/>
          <w:szCs w:val="32"/>
        </w:rPr>
      </w:pPr>
      <w:r>
        <w:rPr>
          <w:rFonts w:hint="eastAsia" w:ascii="仿宋_GB2312" w:eastAsia="仿宋_GB2312" w:hAnsiTheme="minorEastAsia"/>
          <w:sz w:val="32"/>
          <w:szCs w:val="32"/>
        </w:rPr>
        <w:t>上海进一步推进人工智能与数字经济发展的路径和机制研究</w:t>
      </w:r>
    </w:p>
    <w:p>
      <w:pPr>
        <w:pStyle w:val="12"/>
        <w:numPr>
          <w:ilvl w:val="3"/>
          <w:numId w:val="1"/>
        </w:numPr>
        <w:adjustRightInd w:val="0"/>
        <w:snapToGrid w:val="0"/>
        <w:spacing w:line="300" w:lineRule="auto"/>
        <w:ind w:left="426" w:firstLineChars="0"/>
        <w:rPr>
          <w:rFonts w:ascii="仿宋_GB2312" w:eastAsia="仿宋_GB2312" w:hAnsiTheme="minorEastAsia"/>
          <w:sz w:val="32"/>
          <w:szCs w:val="32"/>
        </w:rPr>
      </w:pPr>
      <w:r>
        <w:rPr>
          <w:rFonts w:hint="eastAsia" w:ascii="仿宋_GB2312" w:eastAsia="仿宋_GB2312" w:hAnsiTheme="minorEastAsia"/>
          <w:sz w:val="32"/>
          <w:szCs w:val="32"/>
        </w:rPr>
        <w:t>上海以虹桥商务区为中心的跨区域国际贸易走廊建设研究</w:t>
      </w:r>
    </w:p>
    <w:p>
      <w:pPr>
        <w:pStyle w:val="12"/>
        <w:numPr>
          <w:ilvl w:val="3"/>
          <w:numId w:val="1"/>
        </w:numPr>
        <w:adjustRightInd w:val="0"/>
        <w:snapToGrid w:val="0"/>
        <w:spacing w:line="300" w:lineRule="auto"/>
        <w:ind w:left="426" w:firstLineChars="0"/>
        <w:rPr>
          <w:rFonts w:ascii="仿宋_GB2312" w:eastAsia="仿宋_GB2312" w:hAnsiTheme="minorEastAsia"/>
          <w:sz w:val="32"/>
          <w:szCs w:val="32"/>
        </w:rPr>
      </w:pPr>
      <w:r>
        <w:rPr>
          <w:rFonts w:hint="eastAsia" w:ascii="仿宋_GB2312" w:eastAsia="仿宋_GB2312" w:hAnsiTheme="minorEastAsia"/>
          <w:sz w:val="32"/>
          <w:szCs w:val="32"/>
        </w:rPr>
        <w:t>上海国资国企深化改革路径及举措研究</w:t>
      </w:r>
    </w:p>
    <w:p>
      <w:pPr>
        <w:pStyle w:val="12"/>
        <w:numPr>
          <w:ilvl w:val="3"/>
          <w:numId w:val="1"/>
        </w:numPr>
        <w:adjustRightInd w:val="0"/>
        <w:snapToGrid w:val="0"/>
        <w:spacing w:line="300" w:lineRule="auto"/>
        <w:ind w:left="426" w:firstLineChars="0"/>
        <w:rPr>
          <w:rFonts w:ascii="仿宋_GB2312" w:eastAsia="仿宋_GB2312" w:hAnsiTheme="minorEastAsia"/>
          <w:sz w:val="32"/>
          <w:szCs w:val="32"/>
        </w:rPr>
      </w:pPr>
      <w:r>
        <w:rPr>
          <w:rFonts w:hint="eastAsia" w:ascii="仿宋_GB2312" w:eastAsia="仿宋_GB2312" w:hAnsiTheme="minorEastAsia"/>
          <w:sz w:val="32"/>
          <w:szCs w:val="32"/>
        </w:rPr>
        <w:t>进一步优化上海营商环境的瓶颈和对策研究</w:t>
      </w:r>
    </w:p>
    <w:p>
      <w:pPr>
        <w:pStyle w:val="12"/>
        <w:numPr>
          <w:ilvl w:val="3"/>
          <w:numId w:val="1"/>
        </w:numPr>
        <w:adjustRightInd w:val="0"/>
        <w:snapToGrid w:val="0"/>
        <w:spacing w:line="300" w:lineRule="auto"/>
        <w:ind w:left="426" w:firstLineChars="0"/>
        <w:rPr>
          <w:rFonts w:ascii="仿宋_GB2312" w:eastAsia="仿宋_GB2312" w:hAnsiTheme="minorEastAsia"/>
          <w:sz w:val="32"/>
          <w:szCs w:val="32"/>
        </w:rPr>
      </w:pPr>
      <w:r>
        <w:rPr>
          <w:rFonts w:hint="eastAsia" w:ascii="仿宋_GB2312" w:eastAsia="仿宋_GB2312" w:hAnsiTheme="minorEastAsia"/>
          <w:sz w:val="32"/>
          <w:szCs w:val="32"/>
        </w:rPr>
        <w:t>深化上海政务服务“一网通办”研究</w:t>
      </w:r>
    </w:p>
    <w:p>
      <w:pPr>
        <w:pStyle w:val="12"/>
        <w:numPr>
          <w:ilvl w:val="3"/>
          <w:numId w:val="1"/>
        </w:numPr>
        <w:adjustRightInd w:val="0"/>
        <w:snapToGrid w:val="0"/>
        <w:spacing w:line="300" w:lineRule="auto"/>
        <w:ind w:left="426" w:firstLineChars="0"/>
        <w:rPr>
          <w:rFonts w:ascii="仿宋_GB2312" w:eastAsia="仿宋_GB2312" w:hAnsiTheme="minorEastAsia"/>
          <w:sz w:val="32"/>
          <w:szCs w:val="32"/>
        </w:rPr>
      </w:pPr>
      <w:r>
        <w:rPr>
          <w:rFonts w:hint="eastAsia" w:ascii="仿宋_GB2312" w:eastAsia="仿宋_GB2312" w:hAnsiTheme="minorEastAsia"/>
          <w:sz w:val="32"/>
          <w:szCs w:val="32"/>
        </w:rPr>
        <w:t>上海打造服务“一带一路”建设桥头堡研究</w:t>
      </w:r>
    </w:p>
    <w:p>
      <w:pPr>
        <w:pStyle w:val="12"/>
        <w:numPr>
          <w:ilvl w:val="3"/>
          <w:numId w:val="1"/>
        </w:numPr>
        <w:adjustRightInd w:val="0"/>
        <w:snapToGrid w:val="0"/>
        <w:spacing w:line="300" w:lineRule="auto"/>
        <w:ind w:left="426" w:firstLineChars="0"/>
        <w:rPr>
          <w:rFonts w:ascii="仿宋_GB2312" w:eastAsia="仿宋_GB2312" w:hAnsiTheme="minorEastAsia"/>
          <w:sz w:val="32"/>
          <w:szCs w:val="32"/>
        </w:rPr>
      </w:pPr>
      <w:r>
        <w:rPr>
          <w:rFonts w:hint="eastAsia" w:ascii="仿宋_GB2312" w:eastAsia="仿宋_GB2312" w:hAnsiTheme="minorEastAsia"/>
          <w:bCs/>
          <w:sz w:val="32"/>
          <w:szCs w:val="32"/>
        </w:rPr>
        <w:t>深度贫困地区实施精准扶贫的上海经验研究</w:t>
      </w:r>
    </w:p>
    <w:p>
      <w:pPr>
        <w:pStyle w:val="12"/>
        <w:numPr>
          <w:ilvl w:val="3"/>
          <w:numId w:val="1"/>
        </w:numPr>
        <w:adjustRightInd w:val="0"/>
        <w:snapToGrid w:val="0"/>
        <w:spacing w:line="300" w:lineRule="auto"/>
        <w:ind w:left="426" w:firstLineChars="0"/>
        <w:rPr>
          <w:rFonts w:ascii="仿宋_GB2312" w:eastAsia="仿宋_GB2312" w:hAnsiTheme="minorEastAsia"/>
          <w:sz w:val="32"/>
          <w:szCs w:val="32"/>
        </w:rPr>
      </w:pPr>
      <w:r>
        <w:rPr>
          <w:rFonts w:hint="eastAsia" w:ascii="仿宋_GB2312" w:eastAsia="仿宋_GB2312" w:hAnsiTheme="minorEastAsia"/>
          <w:sz w:val="32"/>
          <w:szCs w:val="32"/>
        </w:rPr>
        <w:t>上海对口支援的体制机制创新研究</w:t>
      </w:r>
    </w:p>
    <w:p>
      <w:pPr>
        <w:pStyle w:val="12"/>
        <w:numPr>
          <w:ilvl w:val="3"/>
          <w:numId w:val="1"/>
        </w:numPr>
        <w:adjustRightInd w:val="0"/>
        <w:snapToGrid w:val="0"/>
        <w:spacing w:line="300" w:lineRule="auto"/>
        <w:ind w:left="426" w:firstLineChars="0"/>
        <w:rPr>
          <w:rFonts w:ascii="仿宋_GB2312" w:eastAsia="仿宋_GB2312" w:hAnsiTheme="minorEastAsia"/>
          <w:sz w:val="32"/>
          <w:szCs w:val="32"/>
        </w:rPr>
      </w:pPr>
      <w:r>
        <w:rPr>
          <w:rFonts w:hint="eastAsia" w:ascii="仿宋_GB2312" w:eastAsia="仿宋_GB2312" w:hAnsiTheme="minorEastAsia"/>
          <w:sz w:val="32"/>
          <w:szCs w:val="32"/>
        </w:rPr>
        <w:t>上海医疗保障基金和公共卫生服务资金统筹使用机制研究</w:t>
      </w:r>
    </w:p>
    <w:p>
      <w:pPr>
        <w:pStyle w:val="12"/>
        <w:numPr>
          <w:ilvl w:val="3"/>
          <w:numId w:val="1"/>
        </w:numPr>
        <w:adjustRightInd w:val="0"/>
        <w:snapToGrid w:val="0"/>
        <w:spacing w:line="300" w:lineRule="auto"/>
        <w:ind w:left="426" w:firstLineChars="0"/>
        <w:rPr>
          <w:rFonts w:ascii="仿宋_GB2312" w:eastAsia="仿宋_GB2312" w:hAnsiTheme="minorEastAsia"/>
          <w:sz w:val="32"/>
          <w:szCs w:val="32"/>
        </w:rPr>
      </w:pPr>
      <w:r>
        <w:rPr>
          <w:rFonts w:hint="eastAsia" w:ascii="仿宋_GB2312" w:eastAsia="仿宋_GB2312" w:hAnsiTheme="minorEastAsia"/>
          <w:sz w:val="32"/>
          <w:szCs w:val="32"/>
        </w:rPr>
        <w:t>上海健全重大疾病医疗保险和救助机制、完善应急救助机制研究</w:t>
      </w:r>
    </w:p>
    <w:p>
      <w:pPr>
        <w:pStyle w:val="12"/>
        <w:numPr>
          <w:ilvl w:val="3"/>
          <w:numId w:val="1"/>
        </w:numPr>
        <w:adjustRightInd w:val="0"/>
        <w:snapToGrid w:val="0"/>
        <w:spacing w:line="300" w:lineRule="auto"/>
        <w:ind w:left="426" w:firstLineChars="0"/>
        <w:rPr>
          <w:rFonts w:ascii="仿宋_GB2312" w:eastAsia="仿宋_GB2312" w:hAnsiTheme="minorEastAsia"/>
          <w:sz w:val="32"/>
          <w:szCs w:val="32"/>
        </w:rPr>
      </w:pPr>
      <w:r>
        <w:rPr>
          <w:rFonts w:hint="eastAsia" w:ascii="仿宋_GB2312" w:eastAsia="仿宋_GB2312" w:hAnsiTheme="minorEastAsia"/>
          <w:sz w:val="32"/>
          <w:szCs w:val="32"/>
        </w:rPr>
        <w:t>应对重大</w:t>
      </w:r>
      <w:r>
        <w:rPr>
          <w:rFonts w:hint="eastAsia" w:ascii="仿宋_GB2312" w:eastAsia="仿宋_GB2312" w:hAnsiTheme="minorEastAsia"/>
          <w:snapToGrid w:val="0"/>
          <w:kern w:val="0"/>
          <w:sz w:val="32"/>
          <w:szCs w:val="32"/>
        </w:rPr>
        <w:t>突发</w:t>
      </w:r>
      <w:r>
        <w:rPr>
          <w:rFonts w:hint="eastAsia" w:ascii="仿宋_GB2312" w:eastAsia="仿宋_GB2312" w:hAnsiTheme="minorEastAsia"/>
          <w:sz w:val="32"/>
          <w:szCs w:val="32"/>
        </w:rPr>
        <w:t>公共卫生事件法律体系建设研究</w:t>
      </w:r>
    </w:p>
    <w:p>
      <w:pPr>
        <w:pStyle w:val="12"/>
        <w:numPr>
          <w:ilvl w:val="3"/>
          <w:numId w:val="1"/>
        </w:numPr>
        <w:adjustRightInd w:val="0"/>
        <w:snapToGrid w:val="0"/>
        <w:spacing w:line="300" w:lineRule="auto"/>
        <w:ind w:left="426" w:firstLineChars="0"/>
        <w:rPr>
          <w:rFonts w:ascii="仿宋_GB2312" w:eastAsia="仿宋_GB2312" w:hAnsiTheme="minorEastAsia"/>
          <w:sz w:val="32"/>
          <w:szCs w:val="32"/>
        </w:rPr>
      </w:pPr>
      <w:r>
        <w:rPr>
          <w:rFonts w:hint="eastAsia" w:ascii="仿宋_GB2312" w:eastAsia="仿宋_GB2312" w:hAnsiTheme="minorEastAsia"/>
          <w:sz w:val="32"/>
          <w:szCs w:val="32"/>
        </w:rPr>
        <w:t>超大城市治理的理论和实践问题研究</w:t>
      </w:r>
    </w:p>
    <w:p>
      <w:pPr>
        <w:pStyle w:val="12"/>
        <w:numPr>
          <w:ilvl w:val="3"/>
          <w:numId w:val="1"/>
        </w:numPr>
        <w:adjustRightInd w:val="0"/>
        <w:snapToGrid w:val="0"/>
        <w:spacing w:line="300" w:lineRule="auto"/>
        <w:ind w:left="426" w:firstLineChars="0"/>
        <w:rPr>
          <w:rFonts w:ascii="仿宋_GB2312" w:eastAsia="仿宋_GB2312" w:hAnsiTheme="minorEastAsia"/>
          <w:sz w:val="32"/>
          <w:szCs w:val="32"/>
        </w:rPr>
      </w:pPr>
      <w:r>
        <w:rPr>
          <w:rFonts w:hint="eastAsia" w:ascii="仿宋_GB2312" w:eastAsia="仿宋_GB2312" w:hAnsiTheme="minorEastAsia"/>
          <w:sz w:val="32"/>
          <w:szCs w:val="32"/>
        </w:rPr>
        <w:t>上海城市运行“一网统管”运行评估及完善措施研究</w:t>
      </w:r>
    </w:p>
    <w:p>
      <w:pPr>
        <w:pStyle w:val="12"/>
        <w:numPr>
          <w:ilvl w:val="3"/>
          <w:numId w:val="1"/>
        </w:numPr>
        <w:adjustRightInd w:val="0"/>
        <w:snapToGrid w:val="0"/>
        <w:spacing w:line="300" w:lineRule="auto"/>
        <w:ind w:left="426" w:firstLineChars="0"/>
        <w:rPr>
          <w:rFonts w:ascii="仿宋_GB2312" w:eastAsia="仿宋_GB2312" w:hAnsiTheme="minorEastAsia"/>
          <w:sz w:val="32"/>
          <w:szCs w:val="32"/>
        </w:rPr>
      </w:pPr>
      <w:r>
        <w:rPr>
          <w:rFonts w:hint="eastAsia" w:ascii="仿宋_GB2312" w:eastAsia="仿宋_GB2312" w:hAnsiTheme="minorEastAsia"/>
          <w:snapToGrid w:val="0"/>
          <w:kern w:val="0"/>
          <w:sz w:val="32"/>
          <w:szCs w:val="32"/>
        </w:rPr>
        <w:t>超大城市基层社会治理能力建设研究</w:t>
      </w:r>
    </w:p>
    <w:p>
      <w:pPr>
        <w:pStyle w:val="12"/>
        <w:numPr>
          <w:ilvl w:val="3"/>
          <w:numId w:val="1"/>
        </w:numPr>
        <w:adjustRightInd w:val="0"/>
        <w:snapToGrid w:val="0"/>
        <w:spacing w:line="300" w:lineRule="auto"/>
        <w:ind w:left="426" w:firstLineChars="0"/>
        <w:rPr>
          <w:rFonts w:ascii="仿宋_GB2312" w:eastAsia="仿宋_GB2312" w:hAnsiTheme="minorEastAsia"/>
          <w:sz w:val="32"/>
          <w:szCs w:val="32"/>
        </w:rPr>
      </w:pPr>
      <w:r>
        <w:rPr>
          <w:rFonts w:hint="eastAsia" w:ascii="仿宋_GB2312" w:eastAsia="仿宋_GB2312" w:hAnsiTheme="minorEastAsia"/>
          <w:bCs/>
          <w:snapToGrid w:val="0"/>
          <w:kern w:val="0"/>
          <w:sz w:val="32"/>
          <w:szCs w:val="32"/>
        </w:rPr>
        <w:t>城市社区协商治理的有效性研究</w:t>
      </w:r>
    </w:p>
    <w:p>
      <w:pPr>
        <w:pStyle w:val="12"/>
        <w:numPr>
          <w:ilvl w:val="3"/>
          <w:numId w:val="1"/>
        </w:numPr>
        <w:adjustRightInd w:val="0"/>
        <w:snapToGrid w:val="0"/>
        <w:spacing w:line="300" w:lineRule="auto"/>
        <w:ind w:left="426" w:firstLineChars="0"/>
        <w:rPr>
          <w:rFonts w:ascii="仿宋_GB2312" w:eastAsia="仿宋_GB2312" w:hAnsiTheme="minorEastAsia"/>
          <w:sz w:val="32"/>
          <w:szCs w:val="32"/>
        </w:rPr>
      </w:pPr>
      <w:r>
        <w:rPr>
          <w:rFonts w:hint="eastAsia" w:ascii="仿宋_GB2312" w:eastAsia="仿宋_GB2312" w:hAnsiTheme="minorEastAsia"/>
          <w:sz w:val="32"/>
          <w:szCs w:val="32"/>
        </w:rPr>
        <w:t>两级政府三级管理体制机制研究</w:t>
      </w:r>
    </w:p>
    <w:p>
      <w:pPr>
        <w:pStyle w:val="12"/>
        <w:numPr>
          <w:ilvl w:val="3"/>
          <w:numId w:val="1"/>
        </w:numPr>
        <w:adjustRightInd w:val="0"/>
        <w:snapToGrid w:val="0"/>
        <w:spacing w:line="300" w:lineRule="auto"/>
        <w:ind w:left="426" w:firstLineChars="0"/>
        <w:rPr>
          <w:rFonts w:ascii="仿宋_GB2312" w:eastAsia="仿宋_GB2312" w:hAnsiTheme="minorEastAsia"/>
          <w:sz w:val="32"/>
          <w:szCs w:val="32"/>
        </w:rPr>
      </w:pPr>
      <w:r>
        <w:rPr>
          <w:rFonts w:hint="eastAsia" w:ascii="仿宋_GB2312" w:eastAsia="仿宋_GB2312" w:hAnsiTheme="minorEastAsia"/>
          <w:sz w:val="32"/>
          <w:szCs w:val="32"/>
        </w:rPr>
        <w:t>上海全球科创中心建设中的军民科技协同创新问题研究</w:t>
      </w:r>
    </w:p>
    <w:p>
      <w:pPr>
        <w:pStyle w:val="12"/>
        <w:numPr>
          <w:ilvl w:val="3"/>
          <w:numId w:val="1"/>
        </w:numPr>
        <w:adjustRightInd w:val="0"/>
        <w:snapToGrid w:val="0"/>
        <w:spacing w:line="300" w:lineRule="auto"/>
        <w:ind w:left="426" w:firstLineChars="0"/>
        <w:rPr>
          <w:rFonts w:ascii="仿宋_GB2312" w:eastAsia="仿宋_GB2312" w:hAnsiTheme="minorEastAsia"/>
          <w:sz w:val="32"/>
          <w:szCs w:val="32"/>
        </w:rPr>
      </w:pPr>
      <w:r>
        <w:rPr>
          <w:rFonts w:hint="eastAsia" w:ascii="仿宋_GB2312" w:eastAsia="仿宋_GB2312" w:hAnsiTheme="minorEastAsia"/>
          <w:sz w:val="32"/>
          <w:szCs w:val="32"/>
        </w:rPr>
        <w:t>新时代产业工人理论创新研究</w:t>
      </w:r>
    </w:p>
    <w:p>
      <w:pPr>
        <w:pStyle w:val="12"/>
        <w:numPr>
          <w:ilvl w:val="3"/>
          <w:numId w:val="1"/>
        </w:numPr>
        <w:adjustRightInd w:val="0"/>
        <w:snapToGrid w:val="0"/>
        <w:spacing w:line="300" w:lineRule="auto"/>
        <w:ind w:left="426" w:firstLineChars="0"/>
        <w:rPr>
          <w:rFonts w:ascii="仿宋_GB2312" w:eastAsia="仿宋_GB2312" w:hAnsiTheme="minorEastAsia"/>
          <w:sz w:val="32"/>
          <w:szCs w:val="32"/>
        </w:rPr>
      </w:pPr>
      <w:r>
        <w:rPr>
          <w:rFonts w:hint="eastAsia" w:ascii="仿宋_GB2312" w:eastAsia="仿宋_GB2312" w:hAnsiTheme="minorEastAsia"/>
          <w:sz w:val="32"/>
          <w:szCs w:val="32"/>
        </w:rPr>
        <w:t>近十年女性社会地位变化及影响因素研究</w:t>
      </w:r>
    </w:p>
    <w:p>
      <w:pPr>
        <w:pStyle w:val="12"/>
        <w:numPr>
          <w:ilvl w:val="3"/>
          <w:numId w:val="1"/>
        </w:numPr>
        <w:adjustRightInd w:val="0"/>
        <w:snapToGrid w:val="0"/>
        <w:spacing w:line="300" w:lineRule="auto"/>
        <w:ind w:left="426" w:firstLineChars="0"/>
        <w:rPr>
          <w:rFonts w:ascii="仿宋_GB2312" w:eastAsia="仿宋_GB2312" w:hAnsiTheme="minorEastAsia"/>
          <w:sz w:val="32"/>
          <w:szCs w:val="32"/>
        </w:rPr>
      </w:pPr>
      <w:r>
        <w:rPr>
          <w:rFonts w:hint="eastAsia" w:ascii="仿宋_GB2312" w:eastAsia="仿宋_GB2312" w:hAnsiTheme="minorEastAsia"/>
          <w:sz w:val="32"/>
          <w:szCs w:val="32"/>
        </w:rPr>
        <w:t>上海城市人口规模及人口结构的中长期预测及政策研究</w:t>
      </w:r>
    </w:p>
    <w:p>
      <w:pPr>
        <w:pStyle w:val="12"/>
        <w:numPr>
          <w:ilvl w:val="3"/>
          <w:numId w:val="1"/>
        </w:numPr>
        <w:adjustRightInd w:val="0"/>
        <w:snapToGrid w:val="0"/>
        <w:spacing w:line="300" w:lineRule="auto"/>
        <w:ind w:left="426" w:firstLineChars="0"/>
        <w:rPr>
          <w:rFonts w:ascii="仿宋_GB2312" w:eastAsia="仿宋_GB2312" w:hAnsiTheme="minorEastAsia"/>
          <w:sz w:val="32"/>
          <w:szCs w:val="32"/>
        </w:rPr>
      </w:pPr>
      <w:r>
        <w:rPr>
          <w:rFonts w:hint="eastAsia" w:ascii="仿宋_GB2312" w:eastAsia="仿宋_GB2312" w:hAnsiTheme="minorEastAsia"/>
          <w:sz w:val="32"/>
          <w:szCs w:val="32"/>
        </w:rPr>
        <w:t>上海持续推进“五位一体”社会养老服务体系建设研究</w:t>
      </w:r>
    </w:p>
    <w:p>
      <w:pPr>
        <w:pStyle w:val="12"/>
        <w:numPr>
          <w:ilvl w:val="3"/>
          <w:numId w:val="1"/>
        </w:numPr>
        <w:adjustRightInd w:val="0"/>
        <w:snapToGrid w:val="0"/>
        <w:spacing w:line="300" w:lineRule="auto"/>
        <w:ind w:left="426" w:firstLineChars="0"/>
        <w:rPr>
          <w:rFonts w:ascii="仿宋_GB2312" w:eastAsia="仿宋_GB2312" w:hAnsiTheme="minorEastAsia"/>
          <w:sz w:val="32"/>
          <w:szCs w:val="32"/>
        </w:rPr>
      </w:pPr>
      <w:r>
        <w:rPr>
          <w:rFonts w:hint="eastAsia" w:ascii="仿宋_GB2312" w:eastAsia="仿宋_GB2312" w:hAnsiTheme="minorEastAsia"/>
          <w:bCs/>
          <w:sz w:val="32"/>
          <w:szCs w:val="32"/>
        </w:rPr>
        <w:t>重大疫情应对中宣传、思想教育途径与方式创新研究</w:t>
      </w:r>
    </w:p>
    <w:p>
      <w:pPr>
        <w:pStyle w:val="12"/>
        <w:numPr>
          <w:ilvl w:val="3"/>
          <w:numId w:val="1"/>
        </w:numPr>
        <w:adjustRightInd w:val="0"/>
        <w:snapToGrid w:val="0"/>
        <w:spacing w:line="300" w:lineRule="auto"/>
        <w:ind w:left="426" w:firstLineChars="0"/>
        <w:rPr>
          <w:rFonts w:ascii="仿宋_GB2312" w:eastAsia="仿宋_GB2312" w:hAnsiTheme="minorEastAsia"/>
          <w:sz w:val="32"/>
          <w:szCs w:val="32"/>
        </w:rPr>
      </w:pPr>
      <w:r>
        <w:rPr>
          <w:rFonts w:hint="eastAsia" w:ascii="仿宋_GB2312" w:eastAsia="仿宋_GB2312" w:hAnsiTheme="minorEastAsia"/>
          <w:sz w:val="32"/>
          <w:szCs w:val="32"/>
        </w:rPr>
        <w:t>疫情影响下就业观念和择业方式新变化研究</w:t>
      </w:r>
    </w:p>
    <w:p>
      <w:pPr>
        <w:pStyle w:val="12"/>
        <w:numPr>
          <w:ilvl w:val="3"/>
          <w:numId w:val="1"/>
        </w:numPr>
        <w:adjustRightInd w:val="0"/>
        <w:snapToGrid w:val="0"/>
        <w:spacing w:line="300" w:lineRule="auto"/>
        <w:ind w:left="426" w:firstLineChars="0"/>
        <w:rPr>
          <w:rFonts w:ascii="仿宋_GB2312" w:eastAsia="仿宋_GB2312" w:hAnsiTheme="minorEastAsia"/>
          <w:sz w:val="32"/>
          <w:szCs w:val="32"/>
        </w:rPr>
      </w:pPr>
      <w:r>
        <w:rPr>
          <w:rFonts w:hint="eastAsia" w:ascii="仿宋_GB2312" w:eastAsia="仿宋_GB2312" w:hAnsiTheme="minorEastAsia"/>
          <w:sz w:val="32"/>
          <w:szCs w:val="32"/>
        </w:rPr>
        <w:t>关于“全过程民主”的理论体系和制度体系研究</w:t>
      </w:r>
    </w:p>
    <w:p>
      <w:pPr>
        <w:pStyle w:val="12"/>
        <w:numPr>
          <w:ilvl w:val="3"/>
          <w:numId w:val="1"/>
        </w:numPr>
        <w:adjustRightInd w:val="0"/>
        <w:snapToGrid w:val="0"/>
        <w:spacing w:line="300" w:lineRule="auto"/>
        <w:ind w:left="426" w:firstLineChars="0"/>
        <w:rPr>
          <w:rFonts w:ascii="仿宋_GB2312" w:eastAsia="仿宋_GB2312" w:hAnsiTheme="minorEastAsia"/>
          <w:sz w:val="32"/>
          <w:szCs w:val="32"/>
        </w:rPr>
      </w:pPr>
      <w:r>
        <w:rPr>
          <w:rFonts w:hint="eastAsia" w:ascii="仿宋_GB2312" w:eastAsia="仿宋_GB2312" w:hAnsiTheme="minorEastAsia"/>
          <w:sz w:val="32"/>
          <w:szCs w:val="32"/>
        </w:rPr>
        <w:t>坚持完善人民当家作主制度体系研究</w:t>
      </w:r>
    </w:p>
    <w:p>
      <w:pPr>
        <w:pStyle w:val="12"/>
        <w:numPr>
          <w:ilvl w:val="3"/>
          <w:numId w:val="1"/>
        </w:numPr>
        <w:adjustRightInd w:val="0"/>
        <w:snapToGrid w:val="0"/>
        <w:spacing w:line="300" w:lineRule="auto"/>
        <w:ind w:left="426" w:firstLineChars="0"/>
        <w:rPr>
          <w:rFonts w:ascii="仿宋_GB2312" w:eastAsia="仿宋_GB2312" w:hAnsiTheme="minorEastAsia"/>
          <w:sz w:val="32"/>
          <w:szCs w:val="32"/>
        </w:rPr>
      </w:pPr>
      <w:r>
        <w:rPr>
          <w:rFonts w:hint="eastAsia" w:ascii="仿宋_GB2312" w:eastAsia="仿宋_GB2312" w:hAnsiTheme="minorEastAsia"/>
          <w:sz w:val="32"/>
          <w:szCs w:val="32"/>
        </w:rPr>
        <w:t>人民政协制度的独特优势和作用发挥研究</w:t>
      </w:r>
    </w:p>
    <w:p>
      <w:pPr>
        <w:pStyle w:val="12"/>
        <w:numPr>
          <w:ilvl w:val="3"/>
          <w:numId w:val="1"/>
        </w:numPr>
        <w:adjustRightInd w:val="0"/>
        <w:snapToGrid w:val="0"/>
        <w:spacing w:line="300" w:lineRule="auto"/>
        <w:ind w:left="426" w:firstLineChars="0"/>
        <w:rPr>
          <w:rFonts w:ascii="仿宋_GB2312" w:eastAsia="仿宋_GB2312" w:hAnsiTheme="minorEastAsia"/>
          <w:sz w:val="32"/>
          <w:szCs w:val="32"/>
        </w:rPr>
      </w:pPr>
      <w:r>
        <w:rPr>
          <w:rFonts w:hint="eastAsia" w:ascii="仿宋_GB2312" w:eastAsia="仿宋_GB2312" w:hAnsiTheme="minorEastAsia"/>
          <w:sz w:val="32"/>
          <w:szCs w:val="32"/>
        </w:rPr>
        <w:t>《民法典》实施与法治中国建设研究</w:t>
      </w:r>
    </w:p>
    <w:p>
      <w:pPr>
        <w:pStyle w:val="12"/>
        <w:numPr>
          <w:ilvl w:val="3"/>
          <w:numId w:val="1"/>
        </w:numPr>
        <w:adjustRightInd w:val="0"/>
        <w:snapToGrid w:val="0"/>
        <w:spacing w:line="300" w:lineRule="auto"/>
        <w:ind w:left="426" w:firstLineChars="0"/>
        <w:rPr>
          <w:rFonts w:ascii="仿宋_GB2312" w:eastAsia="仿宋_GB2312" w:hAnsiTheme="minorEastAsia"/>
          <w:sz w:val="32"/>
          <w:szCs w:val="32"/>
        </w:rPr>
      </w:pPr>
      <w:r>
        <w:rPr>
          <w:rFonts w:hint="eastAsia" w:ascii="仿宋_GB2312" w:eastAsia="仿宋_GB2312" w:hAnsiTheme="minorEastAsia"/>
          <w:sz w:val="32"/>
          <w:szCs w:val="32"/>
        </w:rPr>
        <w:t>“十四五”时期持续打响“上海文化”品牌战略研究</w:t>
      </w:r>
    </w:p>
    <w:p>
      <w:pPr>
        <w:pStyle w:val="12"/>
        <w:numPr>
          <w:ilvl w:val="3"/>
          <w:numId w:val="1"/>
        </w:numPr>
        <w:adjustRightInd w:val="0"/>
        <w:snapToGrid w:val="0"/>
        <w:spacing w:line="300" w:lineRule="auto"/>
        <w:ind w:left="426" w:firstLineChars="0"/>
        <w:rPr>
          <w:rFonts w:ascii="仿宋_GB2312" w:eastAsia="仿宋_GB2312" w:hAnsiTheme="minorEastAsia"/>
          <w:sz w:val="32"/>
          <w:szCs w:val="32"/>
        </w:rPr>
      </w:pPr>
      <w:r>
        <w:rPr>
          <w:rFonts w:hint="eastAsia" w:ascii="仿宋_GB2312" w:eastAsia="仿宋_GB2312" w:hAnsiTheme="minorEastAsia"/>
          <w:sz w:val="32"/>
          <w:szCs w:val="32"/>
        </w:rPr>
        <w:t>红色基因涵养上海城市精神研究</w:t>
      </w:r>
    </w:p>
    <w:p>
      <w:pPr>
        <w:pStyle w:val="12"/>
        <w:numPr>
          <w:ilvl w:val="3"/>
          <w:numId w:val="1"/>
        </w:numPr>
        <w:adjustRightInd w:val="0"/>
        <w:snapToGrid w:val="0"/>
        <w:spacing w:line="300" w:lineRule="auto"/>
        <w:ind w:left="426" w:firstLineChars="0"/>
        <w:rPr>
          <w:rFonts w:ascii="仿宋_GB2312" w:eastAsia="仿宋_GB2312" w:hAnsiTheme="minorEastAsia"/>
          <w:sz w:val="32"/>
          <w:szCs w:val="32"/>
        </w:rPr>
      </w:pPr>
      <w:r>
        <w:rPr>
          <w:rFonts w:hint="eastAsia" w:ascii="仿宋_GB2312" w:eastAsia="仿宋_GB2312" w:hAnsiTheme="minorEastAsia"/>
          <w:sz w:val="32"/>
          <w:szCs w:val="32"/>
        </w:rPr>
        <w:t>历史文化风貌区和优秀历史建筑保护机制研究</w:t>
      </w:r>
    </w:p>
    <w:p>
      <w:pPr>
        <w:pStyle w:val="12"/>
        <w:numPr>
          <w:ilvl w:val="3"/>
          <w:numId w:val="1"/>
        </w:numPr>
        <w:adjustRightInd w:val="0"/>
        <w:snapToGrid w:val="0"/>
        <w:spacing w:line="300" w:lineRule="auto"/>
        <w:ind w:left="426" w:firstLineChars="0"/>
        <w:rPr>
          <w:rFonts w:ascii="仿宋_GB2312" w:eastAsia="仿宋_GB2312" w:hAnsiTheme="minorEastAsia"/>
          <w:sz w:val="32"/>
          <w:szCs w:val="32"/>
        </w:rPr>
      </w:pPr>
      <w:r>
        <w:rPr>
          <w:rFonts w:hint="eastAsia" w:ascii="仿宋_GB2312" w:eastAsia="仿宋_GB2312" w:hAnsiTheme="minorEastAsia"/>
          <w:sz w:val="32"/>
          <w:szCs w:val="32"/>
        </w:rPr>
        <w:t>上海文化文物单位IP授权与文化创意产品开发研究</w:t>
      </w:r>
    </w:p>
    <w:p>
      <w:pPr>
        <w:pStyle w:val="12"/>
        <w:numPr>
          <w:ilvl w:val="3"/>
          <w:numId w:val="1"/>
        </w:numPr>
        <w:adjustRightInd w:val="0"/>
        <w:snapToGrid w:val="0"/>
        <w:spacing w:line="300" w:lineRule="auto"/>
        <w:ind w:left="426" w:firstLineChars="0"/>
        <w:rPr>
          <w:rFonts w:ascii="仿宋_GB2312" w:eastAsia="仿宋_GB2312" w:hAnsiTheme="minorEastAsia"/>
          <w:sz w:val="32"/>
          <w:szCs w:val="32"/>
        </w:rPr>
      </w:pPr>
      <w:r>
        <w:rPr>
          <w:rFonts w:hint="eastAsia" w:ascii="仿宋_GB2312" w:eastAsia="仿宋_GB2312" w:hAnsiTheme="minorEastAsia"/>
          <w:bCs/>
          <w:snapToGrid w:val="0"/>
          <w:kern w:val="0"/>
          <w:sz w:val="32"/>
          <w:szCs w:val="32"/>
        </w:rPr>
        <w:t>健全重大突发事件舆论引导机制与提升中国国际话语权研究</w:t>
      </w:r>
    </w:p>
    <w:p>
      <w:pPr>
        <w:pStyle w:val="12"/>
        <w:numPr>
          <w:ilvl w:val="3"/>
          <w:numId w:val="1"/>
        </w:numPr>
        <w:adjustRightInd w:val="0"/>
        <w:snapToGrid w:val="0"/>
        <w:spacing w:line="300" w:lineRule="auto"/>
        <w:ind w:left="426" w:firstLineChars="0"/>
        <w:rPr>
          <w:rFonts w:ascii="仿宋_GB2312" w:eastAsia="仿宋_GB2312" w:hAnsiTheme="minorEastAsia"/>
          <w:sz w:val="32"/>
          <w:szCs w:val="32"/>
        </w:rPr>
      </w:pPr>
      <w:r>
        <w:rPr>
          <w:rFonts w:hint="eastAsia" w:ascii="仿宋_GB2312" w:eastAsia="仿宋_GB2312" w:hAnsiTheme="minorEastAsia"/>
          <w:sz w:val="32"/>
          <w:szCs w:val="32"/>
        </w:rPr>
        <w:t>旧区改造与社区生态系统再造研究</w:t>
      </w:r>
    </w:p>
    <w:p>
      <w:pPr>
        <w:pStyle w:val="12"/>
        <w:numPr>
          <w:ilvl w:val="3"/>
          <w:numId w:val="1"/>
        </w:numPr>
        <w:adjustRightInd w:val="0"/>
        <w:snapToGrid w:val="0"/>
        <w:spacing w:line="300" w:lineRule="auto"/>
        <w:ind w:left="426" w:firstLineChars="0"/>
        <w:rPr>
          <w:rFonts w:ascii="仿宋_GB2312" w:eastAsia="仿宋_GB2312" w:hAnsiTheme="minorEastAsia"/>
          <w:sz w:val="32"/>
          <w:szCs w:val="32"/>
        </w:rPr>
      </w:pPr>
      <w:r>
        <w:rPr>
          <w:rFonts w:hint="eastAsia" w:ascii="仿宋_GB2312" w:eastAsia="仿宋_GB2312" w:hAnsiTheme="minorEastAsia"/>
          <w:sz w:val="32"/>
          <w:szCs w:val="32"/>
        </w:rPr>
        <w:t>上海生态之城建设的内涵、目标和实施路径研究</w:t>
      </w:r>
    </w:p>
    <w:p>
      <w:pPr>
        <w:pStyle w:val="12"/>
        <w:numPr>
          <w:ilvl w:val="3"/>
          <w:numId w:val="1"/>
        </w:numPr>
        <w:adjustRightInd w:val="0"/>
        <w:snapToGrid w:val="0"/>
        <w:spacing w:line="300" w:lineRule="auto"/>
        <w:ind w:left="426" w:firstLineChars="0"/>
        <w:rPr>
          <w:rFonts w:ascii="仿宋_GB2312" w:eastAsia="仿宋_GB2312" w:hAnsiTheme="minorEastAsia"/>
          <w:sz w:val="32"/>
          <w:szCs w:val="32"/>
        </w:rPr>
      </w:pPr>
      <w:r>
        <w:rPr>
          <w:rFonts w:hint="eastAsia" w:ascii="仿宋_GB2312" w:eastAsia="仿宋_GB2312" w:hAnsiTheme="minorEastAsia"/>
          <w:snapToGrid w:val="0"/>
          <w:kern w:val="0"/>
          <w:sz w:val="32"/>
          <w:szCs w:val="32"/>
          <w:lang w:bidi="zh-TW"/>
        </w:rPr>
        <w:t>《监察法》实施中的监督职能实现机制问题研究</w:t>
      </w:r>
    </w:p>
    <w:p>
      <w:pPr>
        <w:pStyle w:val="12"/>
        <w:numPr>
          <w:ilvl w:val="3"/>
          <w:numId w:val="1"/>
        </w:numPr>
        <w:adjustRightInd w:val="0"/>
        <w:snapToGrid w:val="0"/>
        <w:spacing w:line="300" w:lineRule="auto"/>
        <w:ind w:left="426" w:firstLineChars="0"/>
        <w:rPr>
          <w:rFonts w:ascii="仿宋_GB2312" w:eastAsia="仿宋_GB2312" w:hAnsiTheme="minorEastAsia"/>
          <w:sz w:val="32"/>
          <w:szCs w:val="32"/>
        </w:rPr>
      </w:pPr>
      <w:r>
        <w:rPr>
          <w:rFonts w:hint="eastAsia" w:ascii="仿宋_GB2312" w:eastAsia="仿宋_GB2312" w:hAnsiTheme="minorEastAsia"/>
          <w:sz w:val="32"/>
          <w:szCs w:val="32"/>
        </w:rPr>
        <w:t>国际格局大变革与我国对外关系战略研究</w:t>
      </w:r>
    </w:p>
    <w:p>
      <w:pPr>
        <w:pStyle w:val="12"/>
        <w:numPr>
          <w:ilvl w:val="3"/>
          <w:numId w:val="1"/>
        </w:numPr>
        <w:adjustRightInd w:val="0"/>
        <w:snapToGrid w:val="0"/>
        <w:spacing w:line="300" w:lineRule="auto"/>
        <w:ind w:left="426" w:firstLineChars="0"/>
        <w:rPr>
          <w:rFonts w:ascii="仿宋_GB2312" w:eastAsia="仿宋_GB2312" w:hAnsiTheme="minorEastAsia"/>
          <w:sz w:val="32"/>
          <w:szCs w:val="32"/>
        </w:rPr>
      </w:pPr>
      <w:r>
        <w:rPr>
          <w:rFonts w:hint="eastAsia" w:ascii="仿宋_GB2312" w:eastAsia="仿宋_GB2312" w:hAnsiTheme="minorEastAsia"/>
          <w:sz w:val="32"/>
          <w:szCs w:val="32"/>
        </w:rPr>
        <w:t>新时代党的组织体系建设的关键问题研究</w:t>
      </w:r>
    </w:p>
    <w:p>
      <w:pPr>
        <w:pStyle w:val="12"/>
        <w:numPr>
          <w:ilvl w:val="3"/>
          <w:numId w:val="1"/>
        </w:numPr>
        <w:adjustRightInd w:val="0"/>
        <w:snapToGrid w:val="0"/>
        <w:spacing w:line="300" w:lineRule="auto"/>
        <w:ind w:left="426" w:firstLineChars="0"/>
        <w:rPr>
          <w:rFonts w:ascii="仿宋_GB2312" w:eastAsia="仿宋_GB2312" w:hAnsiTheme="minorEastAsia"/>
          <w:sz w:val="32"/>
          <w:szCs w:val="32"/>
        </w:rPr>
      </w:pPr>
      <w:r>
        <w:rPr>
          <w:rFonts w:hint="eastAsia" w:ascii="仿宋_GB2312" w:eastAsia="仿宋_GB2312" w:hAnsiTheme="minorEastAsia"/>
          <w:sz w:val="32"/>
          <w:szCs w:val="32"/>
        </w:rPr>
        <w:t>提升基层党组织政治功能和组织力研究</w:t>
      </w:r>
    </w:p>
    <w:p>
      <w:pPr>
        <w:pStyle w:val="12"/>
        <w:numPr>
          <w:ilvl w:val="3"/>
          <w:numId w:val="1"/>
        </w:numPr>
        <w:adjustRightInd w:val="0"/>
        <w:snapToGrid w:val="0"/>
        <w:spacing w:line="300" w:lineRule="auto"/>
        <w:ind w:left="426" w:firstLineChars="0"/>
        <w:rPr>
          <w:rFonts w:ascii="仿宋_GB2312" w:eastAsia="仿宋_GB2312" w:hAnsiTheme="minorEastAsia"/>
          <w:sz w:val="32"/>
          <w:szCs w:val="32"/>
        </w:rPr>
      </w:pPr>
      <w:r>
        <w:rPr>
          <w:rFonts w:hint="eastAsia" w:ascii="仿宋_GB2312" w:eastAsia="仿宋_GB2312" w:hAnsiTheme="minorEastAsia"/>
          <w:sz w:val="32"/>
          <w:szCs w:val="32"/>
        </w:rPr>
        <w:t>深化党建引领下的基层治理创新研究</w:t>
      </w:r>
    </w:p>
    <w:p>
      <w:pPr>
        <w:pStyle w:val="12"/>
        <w:numPr>
          <w:ilvl w:val="3"/>
          <w:numId w:val="1"/>
        </w:numPr>
        <w:adjustRightInd w:val="0"/>
        <w:snapToGrid w:val="0"/>
        <w:spacing w:line="360" w:lineRule="auto"/>
        <w:ind w:left="426" w:firstLineChars="0"/>
        <w:rPr>
          <w:rFonts w:ascii="仿宋_GB2312" w:eastAsia="仿宋_GB2312"/>
          <w:sz w:val="32"/>
          <w:szCs w:val="32"/>
        </w:rPr>
      </w:pPr>
      <w:r>
        <w:rPr>
          <w:rFonts w:hint="eastAsia" w:ascii="仿宋_GB2312" w:eastAsia="仿宋_GB2312" w:hAnsiTheme="minorEastAsia"/>
          <w:sz w:val="32"/>
          <w:szCs w:val="32"/>
        </w:rPr>
        <w:t>深化拓展新兴领域党建工作研究</w:t>
      </w:r>
    </w:p>
    <w:sectPr>
      <w:footerReference r:id="rId9"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黑体"/>
    <w:panose1 w:val="03000509000000000000"/>
    <w:charset w:val="86"/>
    <w:family w:val="script"/>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新宋体">
    <w:panose1 w:val="02010609030101010101"/>
    <w:charset w:val="86"/>
    <w:family w:val="modern"/>
    <w:pitch w:val="default"/>
    <w:sig w:usb0="00000003" w:usb1="288F0000" w:usb2="00000006" w:usb3="00000000" w:csb0="00040001"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rPr>
        <w:rFonts w:cs="Times New Roman"/>
        <w:sz w:val="24"/>
        <w:szCs w:val="24"/>
      </w:rPr>
    </w:pPr>
    <w:r>
      <w:rPr>
        <w:sz w:val="24"/>
        <w:szCs w:val="24"/>
      </w:rPr>
      <w:fldChar w:fldCharType="begin"/>
    </w:r>
    <w:r>
      <w:rPr>
        <w:sz w:val="24"/>
        <w:szCs w:val="24"/>
      </w:rPr>
      <w:instrText xml:space="preserve">PAGE   \* MERGEFORMAT</w:instrText>
    </w:r>
    <w:r>
      <w:rPr>
        <w:sz w:val="24"/>
        <w:szCs w:val="24"/>
      </w:rPr>
      <w:fldChar w:fldCharType="separate"/>
    </w:r>
    <w:r>
      <w:rPr>
        <w:sz w:val="24"/>
        <w:szCs w:val="24"/>
        <w:lang w:val="zh-CN"/>
      </w:rPr>
      <w:t>-</w:t>
    </w:r>
    <w:r>
      <w:rPr>
        <w:sz w:val="24"/>
        <w:szCs w:val="24"/>
      </w:rPr>
      <w:t xml:space="preserve"> 4 -</w:t>
    </w:r>
    <w:r>
      <w:rPr>
        <w:sz w:val="24"/>
        <w:szCs w:val="24"/>
      </w:rPr>
      <w:fldChar w:fldCharType="end"/>
    </w:r>
  </w:p>
  <w:p>
    <w:pPr>
      <w:pStyle w:val="4"/>
      <w:rPr>
        <w:rFonts w:cs="Times New Roma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613A94"/>
    <w:multiLevelType w:val="multilevel"/>
    <w:tmpl w:val="46613A94"/>
    <w:lvl w:ilvl="0" w:tentative="0">
      <w:start w:val="1"/>
      <w:numFmt w:val="decimal"/>
      <w:lvlText w:val="%1."/>
      <w:lvlJc w:val="left"/>
      <w:pPr>
        <w:ind w:left="1360" w:hanging="720"/>
      </w:pPr>
      <w:rPr>
        <w:rFonts w:hint="default"/>
        <w:lang w:val="en-US"/>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rsids>
    <w:rsidRoot w:val="009B00CA"/>
    <w:rsid w:val="000519F2"/>
    <w:rsid w:val="00052A8B"/>
    <w:rsid w:val="00067A18"/>
    <w:rsid w:val="00096336"/>
    <w:rsid w:val="000A58DE"/>
    <w:rsid w:val="000C4CB9"/>
    <w:rsid w:val="00114186"/>
    <w:rsid w:val="001177C4"/>
    <w:rsid w:val="00134672"/>
    <w:rsid w:val="001349CC"/>
    <w:rsid w:val="00137D14"/>
    <w:rsid w:val="00150F33"/>
    <w:rsid w:val="0015540B"/>
    <w:rsid w:val="001823D0"/>
    <w:rsid w:val="001866D5"/>
    <w:rsid w:val="00193D9E"/>
    <w:rsid w:val="001963B3"/>
    <w:rsid w:val="00196FED"/>
    <w:rsid w:val="001A3CBB"/>
    <w:rsid w:val="001B48BF"/>
    <w:rsid w:val="001C2C00"/>
    <w:rsid w:val="001D3468"/>
    <w:rsid w:val="00205BC5"/>
    <w:rsid w:val="0021648C"/>
    <w:rsid w:val="002166CE"/>
    <w:rsid w:val="00223816"/>
    <w:rsid w:val="002450EE"/>
    <w:rsid w:val="00250D5E"/>
    <w:rsid w:val="00254876"/>
    <w:rsid w:val="0026033F"/>
    <w:rsid w:val="00267035"/>
    <w:rsid w:val="00272D8B"/>
    <w:rsid w:val="00286D4B"/>
    <w:rsid w:val="002A3A88"/>
    <w:rsid w:val="002B468C"/>
    <w:rsid w:val="002B5E42"/>
    <w:rsid w:val="002C041E"/>
    <w:rsid w:val="002C728C"/>
    <w:rsid w:val="002F10B5"/>
    <w:rsid w:val="00326AFA"/>
    <w:rsid w:val="003272F6"/>
    <w:rsid w:val="00375C01"/>
    <w:rsid w:val="003A05C3"/>
    <w:rsid w:val="003A264D"/>
    <w:rsid w:val="003B0CDE"/>
    <w:rsid w:val="003B1420"/>
    <w:rsid w:val="003B4AE8"/>
    <w:rsid w:val="003C41E8"/>
    <w:rsid w:val="003D451B"/>
    <w:rsid w:val="003D57D4"/>
    <w:rsid w:val="003E27C6"/>
    <w:rsid w:val="003E6039"/>
    <w:rsid w:val="003F1CA0"/>
    <w:rsid w:val="003F1D64"/>
    <w:rsid w:val="004135F8"/>
    <w:rsid w:val="0042507C"/>
    <w:rsid w:val="00430F8D"/>
    <w:rsid w:val="00452499"/>
    <w:rsid w:val="004539C4"/>
    <w:rsid w:val="00460258"/>
    <w:rsid w:val="00482068"/>
    <w:rsid w:val="0049146E"/>
    <w:rsid w:val="00492728"/>
    <w:rsid w:val="00501A00"/>
    <w:rsid w:val="00520887"/>
    <w:rsid w:val="00556F4F"/>
    <w:rsid w:val="005571F5"/>
    <w:rsid w:val="005613F0"/>
    <w:rsid w:val="00562930"/>
    <w:rsid w:val="0057440B"/>
    <w:rsid w:val="005965EE"/>
    <w:rsid w:val="005A3C92"/>
    <w:rsid w:val="005A72BC"/>
    <w:rsid w:val="005C61EC"/>
    <w:rsid w:val="005D4391"/>
    <w:rsid w:val="005D4FB2"/>
    <w:rsid w:val="005E1421"/>
    <w:rsid w:val="005E4032"/>
    <w:rsid w:val="006072F8"/>
    <w:rsid w:val="006238A8"/>
    <w:rsid w:val="00657D39"/>
    <w:rsid w:val="00660C8F"/>
    <w:rsid w:val="006666C0"/>
    <w:rsid w:val="00692B36"/>
    <w:rsid w:val="00692E6D"/>
    <w:rsid w:val="006A0B22"/>
    <w:rsid w:val="006A483C"/>
    <w:rsid w:val="006B61EB"/>
    <w:rsid w:val="006B7F6A"/>
    <w:rsid w:val="006D3F52"/>
    <w:rsid w:val="006E6F6E"/>
    <w:rsid w:val="006F3392"/>
    <w:rsid w:val="006F6DED"/>
    <w:rsid w:val="00701253"/>
    <w:rsid w:val="00702BB1"/>
    <w:rsid w:val="00722972"/>
    <w:rsid w:val="00731A45"/>
    <w:rsid w:val="007378BE"/>
    <w:rsid w:val="0074074E"/>
    <w:rsid w:val="00747E08"/>
    <w:rsid w:val="0075392E"/>
    <w:rsid w:val="00760DC8"/>
    <w:rsid w:val="007655A3"/>
    <w:rsid w:val="00765802"/>
    <w:rsid w:val="007735CA"/>
    <w:rsid w:val="00780714"/>
    <w:rsid w:val="007830A3"/>
    <w:rsid w:val="00784B16"/>
    <w:rsid w:val="00792AA5"/>
    <w:rsid w:val="007C1F7D"/>
    <w:rsid w:val="007C5618"/>
    <w:rsid w:val="007D54B6"/>
    <w:rsid w:val="007E1FFB"/>
    <w:rsid w:val="007F18B0"/>
    <w:rsid w:val="007F6490"/>
    <w:rsid w:val="007F68AF"/>
    <w:rsid w:val="007F7565"/>
    <w:rsid w:val="008030B7"/>
    <w:rsid w:val="008074DE"/>
    <w:rsid w:val="00812386"/>
    <w:rsid w:val="00840432"/>
    <w:rsid w:val="008404C8"/>
    <w:rsid w:val="0084590C"/>
    <w:rsid w:val="00846E4E"/>
    <w:rsid w:val="0086476D"/>
    <w:rsid w:val="00872D4D"/>
    <w:rsid w:val="00882EA9"/>
    <w:rsid w:val="00884B79"/>
    <w:rsid w:val="00897745"/>
    <w:rsid w:val="008B264B"/>
    <w:rsid w:val="008B2FB3"/>
    <w:rsid w:val="008C4CC9"/>
    <w:rsid w:val="008D521A"/>
    <w:rsid w:val="008E2DF5"/>
    <w:rsid w:val="00900B94"/>
    <w:rsid w:val="00902664"/>
    <w:rsid w:val="00903413"/>
    <w:rsid w:val="0091045F"/>
    <w:rsid w:val="009108B4"/>
    <w:rsid w:val="00913B01"/>
    <w:rsid w:val="00925AF9"/>
    <w:rsid w:val="00953E78"/>
    <w:rsid w:val="00964C4D"/>
    <w:rsid w:val="00966508"/>
    <w:rsid w:val="0096668D"/>
    <w:rsid w:val="00966AE1"/>
    <w:rsid w:val="009834C1"/>
    <w:rsid w:val="009B00CA"/>
    <w:rsid w:val="009B0B84"/>
    <w:rsid w:val="009E470D"/>
    <w:rsid w:val="009E4BF3"/>
    <w:rsid w:val="009E5F23"/>
    <w:rsid w:val="009F2D3D"/>
    <w:rsid w:val="00A104C7"/>
    <w:rsid w:val="00A12664"/>
    <w:rsid w:val="00A207DE"/>
    <w:rsid w:val="00A346C1"/>
    <w:rsid w:val="00A43CF2"/>
    <w:rsid w:val="00A56253"/>
    <w:rsid w:val="00A702C6"/>
    <w:rsid w:val="00A90500"/>
    <w:rsid w:val="00A940FF"/>
    <w:rsid w:val="00A95FA2"/>
    <w:rsid w:val="00AB1FBA"/>
    <w:rsid w:val="00AB3789"/>
    <w:rsid w:val="00AC373B"/>
    <w:rsid w:val="00AC5313"/>
    <w:rsid w:val="00AE6730"/>
    <w:rsid w:val="00B014ED"/>
    <w:rsid w:val="00B01812"/>
    <w:rsid w:val="00B14581"/>
    <w:rsid w:val="00B32C12"/>
    <w:rsid w:val="00B7125F"/>
    <w:rsid w:val="00BA429D"/>
    <w:rsid w:val="00BB3612"/>
    <w:rsid w:val="00BC1A69"/>
    <w:rsid w:val="00BD3459"/>
    <w:rsid w:val="00BD59EF"/>
    <w:rsid w:val="00BD6912"/>
    <w:rsid w:val="00C0621C"/>
    <w:rsid w:val="00C071E9"/>
    <w:rsid w:val="00C1636D"/>
    <w:rsid w:val="00C17066"/>
    <w:rsid w:val="00C2689E"/>
    <w:rsid w:val="00C278C6"/>
    <w:rsid w:val="00C507B9"/>
    <w:rsid w:val="00C527E1"/>
    <w:rsid w:val="00C63D04"/>
    <w:rsid w:val="00C97BF7"/>
    <w:rsid w:val="00CB4C0C"/>
    <w:rsid w:val="00CC352C"/>
    <w:rsid w:val="00CC65C6"/>
    <w:rsid w:val="00CD1030"/>
    <w:rsid w:val="00CD1614"/>
    <w:rsid w:val="00CD3B03"/>
    <w:rsid w:val="00CE5906"/>
    <w:rsid w:val="00D038EE"/>
    <w:rsid w:val="00D20D26"/>
    <w:rsid w:val="00D214C2"/>
    <w:rsid w:val="00D4087D"/>
    <w:rsid w:val="00D40ED2"/>
    <w:rsid w:val="00D42E58"/>
    <w:rsid w:val="00D46362"/>
    <w:rsid w:val="00D477A9"/>
    <w:rsid w:val="00D55863"/>
    <w:rsid w:val="00D56784"/>
    <w:rsid w:val="00D56971"/>
    <w:rsid w:val="00D64F2D"/>
    <w:rsid w:val="00D6510D"/>
    <w:rsid w:val="00D93CE7"/>
    <w:rsid w:val="00DA1A45"/>
    <w:rsid w:val="00DA6A5E"/>
    <w:rsid w:val="00DC7F86"/>
    <w:rsid w:val="00DD3982"/>
    <w:rsid w:val="00DE03DE"/>
    <w:rsid w:val="00DF0D45"/>
    <w:rsid w:val="00DF396E"/>
    <w:rsid w:val="00E07FB0"/>
    <w:rsid w:val="00E30F6C"/>
    <w:rsid w:val="00E37B89"/>
    <w:rsid w:val="00E63295"/>
    <w:rsid w:val="00E840D4"/>
    <w:rsid w:val="00E86BDB"/>
    <w:rsid w:val="00E97A24"/>
    <w:rsid w:val="00ED1811"/>
    <w:rsid w:val="00EF5779"/>
    <w:rsid w:val="00F05F64"/>
    <w:rsid w:val="00F2546B"/>
    <w:rsid w:val="00F37A7B"/>
    <w:rsid w:val="00F46AC2"/>
    <w:rsid w:val="00F55D9F"/>
    <w:rsid w:val="00F65785"/>
    <w:rsid w:val="00F70F25"/>
    <w:rsid w:val="00F7132F"/>
    <w:rsid w:val="00F7296F"/>
    <w:rsid w:val="00F80490"/>
    <w:rsid w:val="00F84A04"/>
    <w:rsid w:val="00F90D8D"/>
    <w:rsid w:val="00F92B4E"/>
    <w:rsid w:val="00FA121F"/>
    <w:rsid w:val="00FA6D00"/>
    <w:rsid w:val="00FF4C6D"/>
    <w:rsid w:val="00FF52E3"/>
    <w:rsid w:val="00FF6B66"/>
    <w:rsid w:val="5CD51583"/>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99"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1"/>
    <w:basedOn w:val="1"/>
    <w:next w:val="1"/>
    <w:link w:val="11"/>
    <w:qFormat/>
    <w:uiPriority w:val="99"/>
    <w:pPr>
      <w:keepNext/>
      <w:keepLines/>
      <w:spacing w:before="340" w:after="330" w:line="578" w:lineRule="auto"/>
      <w:outlineLvl w:val="0"/>
    </w:pPr>
    <w:rPr>
      <w:b/>
      <w:bCs/>
      <w:kern w:val="44"/>
      <w:sz w:val="44"/>
      <w:szCs w:val="44"/>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5"/>
    <w:semiHidden/>
    <w:uiPriority w:val="99"/>
    <w:rPr>
      <w:sz w:val="18"/>
      <w:szCs w:val="18"/>
    </w:rPr>
  </w:style>
  <w:style w:type="paragraph" w:styleId="4">
    <w:name w:val="footer"/>
    <w:basedOn w:val="1"/>
    <w:link w:val="14"/>
    <w:uiPriority w:val="99"/>
    <w:pPr>
      <w:tabs>
        <w:tab w:val="center" w:pos="4153"/>
        <w:tab w:val="right" w:pos="8306"/>
      </w:tabs>
      <w:snapToGrid w:val="0"/>
      <w:jc w:val="left"/>
    </w:pPr>
    <w:rPr>
      <w:sz w:val="18"/>
      <w:szCs w:val="18"/>
    </w:rPr>
  </w:style>
  <w:style w:type="paragraph" w:styleId="5">
    <w:name w:val="header"/>
    <w:basedOn w:val="1"/>
    <w:link w:val="13"/>
    <w:uiPriority w:val="99"/>
    <w:pPr>
      <w:pBdr>
        <w:bottom w:val="single" w:color="auto" w:sz="6" w:space="1"/>
      </w:pBdr>
      <w:tabs>
        <w:tab w:val="center" w:pos="4153"/>
        <w:tab w:val="right" w:pos="8306"/>
      </w:tabs>
      <w:snapToGrid w:val="0"/>
      <w:jc w:val="center"/>
    </w:pPr>
    <w:rPr>
      <w:sz w:val="18"/>
      <w:szCs w:val="18"/>
    </w:rPr>
  </w:style>
  <w:style w:type="paragraph" w:styleId="6">
    <w:name w:val="toc 1"/>
    <w:basedOn w:val="1"/>
    <w:next w:val="1"/>
    <w:qFormat/>
    <w:locked/>
    <w:uiPriority w:val="39"/>
  </w:style>
  <w:style w:type="character" w:styleId="9">
    <w:name w:val="Emphasis"/>
    <w:basedOn w:val="8"/>
    <w:qFormat/>
    <w:locked/>
    <w:uiPriority w:val="0"/>
    <w:rPr>
      <w:i/>
      <w:iCs/>
    </w:rPr>
  </w:style>
  <w:style w:type="character" w:styleId="10">
    <w:name w:val="Hyperlink"/>
    <w:uiPriority w:val="99"/>
    <w:rPr>
      <w:color w:val="0000FF"/>
      <w:u w:val="single"/>
    </w:rPr>
  </w:style>
  <w:style w:type="character" w:customStyle="1" w:styleId="11">
    <w:name w:val="标题 1 Char"/>
    <w:basedOn w:val="8"/>
    <w:link w:val="2"/>
    <w:locked/>
    <w:uiPriority w:val="99"/>
    <w:rPr>
      <w:rFonts w:ascii="Calibri" w:hAnsi="Calibri" w:eastAsia="宋体" w:cs="Calibri"/>
      <w:b/>
      <w:bCs/>
      <w:kern w:val="44"/>
      <w:sz w:val="44"/>
      <w:szCs w:val="44"/>
    </w:rPr>
  </w:style>
  <w:style w:type="paragraph" w:styleId="12">
    <w:name w:val="List Paragraph"/>
    <w:basedOn w:val="1"/>
    <w:qFormat/>
    <w:uiPriority w:val="99"/>
    <w:pPr>
      <w:ind w:firstLine="420" w:firstLineChars="200"/>
    </w:pPr>
  </w:style>
  <w:style w:type="character" w:customStyle="1" w:styleId="13">
    <w:name w:val="页眉 Char"/>
    <w:basedOn w:val="8"/>
    <w:link w:val="5"/>
    <w:locked/>
    <w:uiPriority w:val="99"/>
    <w:rPr>
      <w:sz w:val="18"/>
      <w:szCs w:val="18"/>
    </w:rPr>
  </w:style>
  <w:style w:type="character" w:customStyle="1" w:styleId="14">
    <w:name w:val="页脚 Char"/>
    <w:basedOn w:val="8"/>
    <w:link w:val="4"/>
    <w:locked/>
    <w:uiPriority w:val="99"/>
    <w:rPr>
      <w:sz w:val="18"/>
      <w:szCs w:val="18"/>
    </w:rPr>
  </w:style>
  <w:style w:type="character" w:customStyle="1" w:styleId="15">
    <w:name w:val="批注框文本 Char"/>
    <w:basedOn w:val="8"/>
    <w:link w:val="3"/>
    <w:semiHidden/>
    <w:locked/>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10</Pages>
  <Words>665</Words>
  <Characters>3797</Characters>
  <Lines>31</Lines>
  <Paragraphs>8</Paragraphs>
  <TotalTime>17</TotalTime>
  <ScaleCrop>false</ScaleCrop>
  <LinksUpToDate>false</LinksUpToDate>
  <CharactersWithSpaces>4454</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2020-06-30T06:53:00Z</dcterms:created>
  <dc:creator>jkjk</dc:creator>
  <cp:lastModifiedBy>佩佩</cp:lastModifiedBy>
  <cp:lastPrinted>2020-06-24T05:01:00Z</cp:lastPrinted>
  <dcterms:modified xsi:type="dcterms:W3CDTF">2020-07-02T06:08:52Z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1690251125</vt:i4>
  </property>
  <property fmtid="{D5CDD505-2E9C-101B-9397-08002B2CF9AE}" pid="3" name="KSOProductBuildVer">
    <vt:lpwstr>2052-11.1.0.9740</vt:lpwstr>
  </property>
</Properties>
</file>