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STZhongsong" w:cs="STZhongsong" w:hAnsi="STZhongsong" w:eastAsia="STZhongsong"/>
          <w:sz w:val="36"/>
          <w:szCs w:val="36"/>
        </w:rPr>
      </w:pPr>
      <w:r>
        <w:rPr>
          <w:rFonts w:eastAsia="STZhongsong" w:hint="eastAsia"/>
          <w:sz w:val="36"/>
          <w:szCs w:val="36"/>
          <w:rtl w:val="0"/>
          <w:lang w:val="zh-TW" w:eastAsia="zh-TW"/>
        </w:rPr>
        <w:t>第十届全国大学生电子商务</w:t>
      </w:r>
      <w:r>
        <w:rPr>
          <w:rFonts w:ascii="STZhongsong" w:hAnsi="STZhongsong" w:hint="default"/>
          <w:sz w:val="36"/>
          <w:szCs w:val="36"/>
          <w:rtl w:val="0"/>
          <w:lang w:val="en-US"/>
        </w:rPr>
        <w:t>“</w:t>
      </w:r>
      <w:r>
        <w:rPr>
          <w:rFonts w:eastAsia="STZhongsong" w:hint="eastAsia"/>
          <w:sz w:val="36"/>
          <w:szCs w:val="36"/>
          <w:rtl w:val="0"/>
          <w:lang w:val="zh-TW" w:eastAsia="zh-TW"/>
        </w:rPr>
        <w:t>创新、创意及创业</w:t>
      </w:r>
      <w:r>
        <w:rPr>
          <w:rFonts w:ascii="STZhongsong" w:hAnsi="STZhongsong" w:hint="default"/>
          <w:sz w:val="36"/>
          <w:szCs w:val="36"/>
          <w:rtl w:val="0"/>
          <w:lang w:val="en-US"/>
        </w:rPr>
        <w:t>”</w:t>
      </w:r>
    </w:p>
    <w:p>
      <w:pPr>
        <w:pStyle w:val="Normal.0"/>
        <w:jc w:val="center"/>
        <w:rPr>
          <w:rFonts w:ascii="STZhongsong" w:cs="STZhongsong" w:hAnsi="STZhongsong" w:eastAsia="STZhongsong"/>
          <w:sz w:val="36"/>
          <w:szCs w:val="36"/>
          <w:lang w:val="zh-TW" w:eastAsia="zh-TW"/>
        </w:rPr>
      </w:pPr>
      <w:r>
        <w:rPr>
          <w:rFonts w:eastAsia="STZhongsong" w:hint="eastAsia"/>
          <w:sz w:val="36"/>
          <w:szCs w:val="36"/>
          <w:rtl w:val="0"/>
          <w:lang w:val="zh-TW" w:eastAsia="zh-TW"/>
        </w:rPr>
        <w:t>挑战赛上海工程技术大学校赛计划书</w:t>
      </w:r>
    </w:p>
    <w:p>
      <w:pPr>
        <w:pStyle w:val="Normal.0"/>
        <w:spacing w:line="360" w:lineRule="auto"/>
        <w:rPr>
          <w:b w:val="1"/>
          <w:bCs w:val="1"/>
          <w:sz w:val="32"/>
          <w:szCs w:val="32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一、组织单位</w:t>
      </w:r>
    </w:p>
    <w:p>
      <w:pPr>
        <w:pStyle w:val="Normal.0"/>
        <w:spacing w:line="360" w:lineRule="auto"/>
        <w:rPr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主办单位：全国电子商务创新产教联盟</w:t>
      </w:r>
    </w:p>
    <w:p>
      <w:pPr>
        <w:pStyle w:val="Normal.0"/>
        <w:spacing w:line="360" w:lineRule="auto"/>
        <w:rPr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承办单位：上海工程技术大学管理学院</w:t>
      </w:r>
    </w:p>
    <w:p>
      <w:pPr>
        <w:pStyle w:val="Normal.0"/>
        <w:rPr>
          <w:b w:val="1"/>
          <w:bCs w:val="1"/>
          <w:sz w:val="32"/>
          <w:szCs w:val="32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二、评审组</w:t>
      </w:r>
    </w:p>
    <w:tbl>
      <w:tblPr>
        <w:tblW w:w="83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57"/>
        <w:gridCol w:w="7143"/>
      </w:tblGrid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单位及职称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李跃文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上海工程技术大学副教授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1"/>
                <w:szCs w:val="21"/>
                <w:rtl w:val="0"/>
                <w:lang w:val="zh-TW" w:eastAsia="zh-TW"/>
              </w:rPr>
              <w:t>梁鑫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上海工程技术大学副教授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李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旭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芳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上海工程技术大学副教授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闫国东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上海工程技术大学副教授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刘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铮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上海工程技术大学副教授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1"/>
                <w:szCs w:val="21"/>
                <w:rtl w:val="0"/>
                <w:lang w:val="zh-TW" w:eastAsia="zh-TW"/>
              </w:rPr>
              <w:t>邵明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上海工程技术大学讲师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刘笑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上海工程技术大学讲师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张晓燕</w:t>
            </w:r>
          </w:p>
        </w:tc>
        <w:tc>
          <w:tcPr>
            <w:tcW w:type="dxa" w:w="7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上海工程技术大学讲师</w:t>
            </w:r>
          </w:p>
        </w:tc>
      </w:tr>
    </w:tbl>
    <w:p>
      <w:pPr>
        <w:pStyle w:val="Normal.0"/>
        <w:jc w:val="center"/>
        <w:rPr>
          <w:b w:val="1"/>
          <w:bCs w:val="1"/>
          <w:sz w:val="32"/>
          <w:szCs w:val="32"/>
          <w:lang w:val="zh-TW" w:eastAsia="zh-TW"/>
        </w:rPr>
      </w:pPr>
    </w:p>
    <w:p>
      <w:pPr>
        <w:pStyle w:val="Normal.0"/>
        <w:spacing w:line="360" w:lineRule="auto"/>
        <w:rPr>
          <w:b w:val="1"/>
          <w:bCs w:val="1"/>
          <w:sz w:val="32"/>
          <w:szCs w:val="32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三、竞赛方式</w:t>
      </w:r>
    </w:p>
    <w:p>
      <w:pPr>
        <w:pStyle w:val="Normal.0"/>
        <w:spacing w:line="360" w:lineRule="auto"/>
        <w:ind w:firstLine="420"/>
        <w:rPr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竞赛内容围绕创新、创意、创业三方面开展。每个参赛队需提前向校赛秘书组提交五份创业计划书（纸质版）及答辩</w:t>
      </w:r>
      <w:r>
        <w:rPr>
          <w:rFonts w:ascii="Calibri" w:hAnsi="Calibri"/>
          <w:sz w:val="24"/>
          <w:szCs w:val="24"/>
          <w:rtl w:val="0"/>
          <w:lang w:val="en-US"/>
        </w:rPr>
        <w:t>ppt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（电子版），并按时参加校赛答辩。</w:t>
      </w:r>
    </w:p>
    <w:p>
      <w:pPr>
        <w:pStyle w:val="Normal.0"/>
        <w:spacing w:line="360" w:lineRule="auto"/>
        <w:ind w:firstLine="420"/>
        <w:rPr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答辩要求：除以下要求外，可自行增加内容）</w:t>
      </w:r>
    </w:p>
    <w:p>
      <w:pPr>
        <w:pStyle w:val="Normal.0"/>
        <w:spacing w:line="360" w:lineRule="auto"/>
        <w:ind w:firstLine="420"/>
        <w:rPr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（</w:t>
      </w:r>
      <w:r>
        <w:rPr>
          <w:rFonts w:ascii="Calibri" w:hAnsi="Calibri"/>
          <w:sz w:val="24"/>
          <w:szCs w:val="24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）各参赛团队答辩时，不能由非本团队人员代替答辩。</w:t>
      </w:r>
    </w:p>
    <w:p>
      <w:pPr>
        <w:pStyle w:val="Normal.0"/>
        <w:spacing w:line="360" w:lineRule="auto"/>
        <w:ind w:firstLine="420"/>
        <w:rPr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（</w:t>
      </w:r>
      <w:r>
        <w:rPr>
          <w:rFonts w:ascii="Calibri" w:hAnsi="Calibri"/>
          <w:sz w:val="24"/>
          <w:szCs w:val="24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）每个团队答辩时间共为</w:t>
      </w:r>
      <w:r>
        <w:rPr>
          <w:rFonts w:ascii="Calibri" w:hAnsi="Calibri"/>
          <w:sz w:val="24"/>
          <w:szCs w:val="24"/>
          <w:rtl w:val="0"/>
          <w:lang w:val="en-US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分钟，其中团队陈述时间为</w:t>
      </w:r>
      <w:r>
        <w:rPr>
          <w:rFonts w:ascii="Calibri" w:hAnsi="Calibri"/>
          <w:sz w:val="24"/>
          <w:szCs w:val="24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分钟；提问与回答时间为</w:t>
      </w:r>
      <w:r>
        <w:rPr>
          <w:rFonts w:ascii="Calibri" w:hAnsi="Calibri"/>
          <w:sz w:val="24"/>
          <w:szCs w:val="24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分钟。在</w:t>
      </w:r>
      <w:r>
        <w:rPr>
          <w:rFonts w:ascii="Calibri" w:hAnsi="Calibri"/>
          <w:sz w:val="24"/>
          <w:szCs w:val="24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分钟截止时，和</w:t>
      </w:r>
      <w:r>
        <w:rPr>
          <w:rFonts w:ascii="Calibri" w:hAnsi="Calibri"/>
          <w:sz w:val="24"/>
          <w:szCs w:val="24"/>
          <w:rtl w:val="0"/>
          <w:lang w:val="en-US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分钟截止时赛场工作人员明示时间到，评委和参赛选手均不得拖延时间。</w:t>
      </w:r>
    </w:p>
    <w:p>
      <w:pPr>
        <w:pStyle w:val="Normal.0"/>
        <w:spacing w:line="360" w:lineRule="auto"/>
        <w:ind w:firstLine="420"/>
        <w:rPr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（</w:t>
      </w:r>
      <w:r>
        <w:rPr>
          <w:rFonts w:ascii="Calibri" w:hAnsi="Calibri"/>
          <w:sz w:val="24"/>
          <w:szCs w:val="24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）参赛队在工作人员指引下按次序进入答辩室进行答辩。</w:t>
      </w:r>
    </w:p>
    <w:p>
      <w:pPr>
        <w:pStyle w:val="Normal.0"/>
        <w:rPr>
          <w:b w:val="1"/>
          <w:bCs w:val="1"/>
          <w:sz w:val="32"/>
          <w:szCs w:val="32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四、评分标准</w:t>
      </w:r>
    </w:p>
    <w:tbl>
      <w:tblPr>
        <w:tblW w:w="80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66"/>
        <w:gridCol w:w="5264"/>
        <w:gridCol w:w="1540"/>
      </w:tblGrid>
      <w:tr>
        <w:tblPrEx>
          <w:shd w:val="clear" w:color="auto" w:fill="d0ddef"/>
        </w:tblPrEx>
        <w:trPr>
          <w:trHeight w:val="266" w:hRule="atLeast"/>
        </w:trPr>
        <w:tc>
          <w:tcPr>
            <w:tcW w:type="dxa" w:w="12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评分项目</w:t>
            </w:r>
          </w:p>
        </w:tc>
        <w:tc>
          <w:tcPr>
            <w:tcW w:type="dxa" w:w="5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602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评分说明</w:t>
            </w:r>
          </w:p>
        </w:tc>
        <w:tc>
          <w:tcPr>
            <w:tcW w:type="dxa" w:w="1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项目分值</w:t>
            </w:r>
          </w:p>
        </w:tc>
      </w:tr>
      <w:tr>
        <w:tblPrEx>
          <w:shd w:val="clear" w:color="auto" w:fill="d0ddef"/>
        </w:tblPrEx>
        <w:trPr>
          <w:trHeight w:val="546" w:hRule="atLeast"/>
        </w:trPr>
        <w:tc>
          <w:tcPr>
            <w:tcW w:type="dxa" w:w="12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SimSun" w:cs="SimSun" w:hAnsi="SimSun"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实用性与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创新能力</w:t>
            </w:r>
          </w:p>
        </w:tc>
        <w:tc>
          <w:tcPr>
            <w:tcW w:type="dxa" w:w="5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type="dxa" w:w="1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480"/>
            </w:pPr>
            <w:r>
              <w:rPr>
                <w:rFonts w:ascii="SimSun" w:hAnsi="SimSun"/>
                <w:kern w:val="0"/>
                <w:sz w:val="24"/>
                <w:szCs w:val="24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546" w:hRule="atLeast"/>
        </w:trPr>
        <w:tc>
          <w:tcPr>
            <w:tcW w:type="dxa" w:w="12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产品与服务</w:t>
            </w:r>
          </w:p>
        </w:tc>
        <w:tc>
          <w:tcPr>
            <w:tcW w:type="dxa" w:w="5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对产品与服务的描述清晰，特色鲜明，有较显著的竞争优势或市场优势。</w:t>
            </w:r>
          </w:p>
        </w:tc>
        <w:tc>
          <w:tcPr>
            <w:tcW w:type="dxa" w:w="1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480"/>
            </w:pPr>
            <w:r>
              <w:rPr>
                <w:rFonts w:ascii="SimSun" w:hAnsi="SimSun"/>
                <w:kern w:val="0"/>
                <w:sz w:val="24"/>
                <w:szCs w:val="24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826" w:hRule="atLeast"/>
        </w:trPr>
        <w:tc>
          <w:tcPr>
            <w:tcW w:type="dxa" w:w="12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市场分析</w:t>
            </w:r>
          </w:p>
        </w:tc>
        <w:tc>
          <w:tcPr>
            <w:tcW w:type="dxa" w:w="5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type="dxa" w:w="1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480"/>
            </w:pPr>
            <w:r>
              <w:rPr>
                <w:rFonts w:ascii="SimSun" w:hAnsi="SimSun"/>
                <w:kern w:val="0"/>
                <w:sz w:val="24"/>
                <w:szCs w:val="24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826" w:hRule="atLeast"/>
        </w:trPr>
        <w:tc>
          <w:tcPr>
            <w:tcW w:type="dxa" w:w="12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营销策略</w:t>
            </w:r>
          </w:p>
        </w:tc>
        <w:tc>
          <w:tcPr>
            <w:tcW w:type="dxa" w:w="5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type="dxa" w:w="1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480"/>
            </w:pPr>
            <w:r>
              <w:rPr>
                <w:rFonts w:ascii="SimSun" w:hAnsi="SimSun"/>
                <w:kern w:val="0"/>
                <w:sz w:val="24"/>
                <w:szCs w:val="24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546" w:hRule="atLeast"/>
        </w:trPr>
        <w:tc>
          <w:tcPr>
            <w:tcW w:type="dxa" w:w="12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方案实现</w:t>
            </w:r>
          </w:p>
        </w:tc>
        <w:tc>
          <w:tcPr>
            <w:tcW w:type="dxa" w:w="5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type="dxa" w:w="1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480"/>
            </w:pPr>
            <w:r>
              <w:rPr>
                <w:rFonts w:ascii="SimSun" w:hAnsi="SimSun"/>
                <w:kern w:val="0"/>
                <w:sz w:val="24"/>
                <w:szCs w:val="24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1106" w:hRule="atLeast"/>
        </w:trPr>
        <w:tc>
          <w:tcPr>
            <w:tcW w:type="dxa" w:w="12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总体评价</w:t>
            </w:r>
          </w:p>
        </w:tc>
        <w:tc>
          <w:tcPr>
            <w:tcW w:type="dxa" w:w="52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type="dxa" w:w="1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480"/>
            </w:pPr>
            <w:r>
              <w:rPr>
                <w:rFonts w:ascii="SimSun" w:hAnsi="SimSun"/>
                <w:kern w:val="0"/>
                <w:sz w:val="24"/>
                <w:szCs w:val="24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266" w:hRule="atLeast"/>
        </w:trPr>
        <w:tc>
          <w:tcPr>
            <w:tcW w:type="dxa" w:w="653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562"/>
              <w:jc w:val="center"/>
            </w:pPr>
            <w:r>
              <w:rPr>
                <w:rFonts w:eastAsia="SimSun" w:hint="eastAsia"/>
                <w:kern w:val="0"/>
                <w:sz w:val="24"/>
                <w:szCs w:val="24"/>
                <w:rtl w:val="0"/>
                <w:lang w:val="zh-TW" w:eastAsia="zh-TW"/>
              </w:rPr>
              <w:t>得分合计</w:t>
            </w:r>
          </w:p>
        </w:tc>
        <w:tc>
          <w:tcPr>
            <w:tcW w:type="dxa" w:w="1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480"/>
            </w:pPr>
            <w:r>
              <w:rPr>
                <w:rFonts w:ascii="SimSun" w:hAnsi="SimSun"/>
                <w:kern w:val="0"/>
                <w:sz w:val="24"/>
                <w:szCs w:val="24"/>
                <w:rtl w:val="0"/>
                <w:lang w:val="en-US"/>
              </w:rPr>
              <w:t>100</w:t>
            </w:r>
          </w:p>
        </w:tc>
      </w:tr>
    </w:tbl>
    <w:p>
      <w:pPr>
        <w:pStyle w:val="Normal.0"/>
        <w:jc w:val="center"/>
        <w:rPr>
          <w:b w:val="1"/>
          <w:bCs w:val="1"/>
          <w:sz w:val="32"/>
          <w:szCs w:val="32"/>
          <w:lang w:val="zh-TW" w:eastAsia="zh-TW"/>
        </w:rPr>
      </w:pPr>
    </w:p>
    <w:p>
      <w:pPr>
        <w:pStyle w:val="Normal.0"/>
        <w:rPr>
          <w:b w:val="1"/>
          <w:bCs w:val="1"/>
          <w:sz w:val="32"/>
          <w:szCs w:val="32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五、奖项及奖品设置</w:t>
      </w:r>
    </w:p>
    <w:p>
      <w:pPr>
        <w:pStyle w:val="Normal.0"/>
        <w:rPr>
          <w:b w:val="1"/>
          <w:bCs w:val="1"/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奖项设置</w:t>
      </w:r>
    </w:p>
    <w:p>
      <w:pPr>
        <w:pStyle w:val="Normal.0"/>
        <w:ind w:left="210" w:firstLine="0"/>
        <w:jc w:val="left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一等奖：</w:t>
      </w:r>
      <w:r>
        <w:rPr>
          <w:rFonts w:ascii="Calibri" w:hAnsi="Calibr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项</w:t>
      </w:r>
    </w:p>
    <w:p>
      <w:pPr>
        <w:pStyle w:val="Normal.0"/>
        <w:ind w:left="210" w:firstLine="0"/>
        <w:jc w:val="left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二等奖：</w:t>
      </w:r>
      <w:r>
        <w:rPr>
          <w:rFonts w:ascii="Calibri" w:hAnsi="Calibr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项</w:t>
      </w:r>
    </w:p>
    <w:p>
      <w:pPr>
        <w:pStyle w:val="Normal.0"/>
        <w:ind w:left="210" w:firstLine="0"/>
        <w:jc w:val="left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三等奖：</w:t>
      </w:r>
      <w:r>
        <w:rPr>
          <w:rFonts w:ascii="Calibri" w:hAnsi="Calibr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项</w:t>
      </w:r>
    </w:p>
    <w:p>
      <w:pPr>
        <w:pStyle w:val="Normal.0"/>
        <w:ind w:left="210" w:firstLine="0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最佳创新奖：</w:t>
      </w:r>
      <w:r>
        <w:rPr>
          <w:rFonts w:ascii="Calibri" w:hAnsi="Calibr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项</w:t>
      </w:r>
    </w:p>
    <w:p>
      <w:pPr>
        <w:pStyle w:val="Normal.0"/>
        <w:ind w:left="210" w:firstLine="0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最佳创意奖：</w:t>
      </w:r>
      <w:r>
        <w:rPr>
          <w:rFonts w:ascii="Calibri" w:hAnsi="Calibr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项</w:t>
      </w:r>
    </w:p>
    <w:p>
      <w:pPr>
        <w:pStyle w:val="Normal.0"/>
        <w:ind w:left="210" w:firstLine="0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最佳创业奖：</w:t>
      </w:r>
      <w:r>
        <w:rPr>
          <w:rFonts w:ascii="Calibri" w:hAnsi="Calibr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项</w:t>
      </w:r>
    </w:p>
    <w:p>
      <w:pPr>
        <w:pStyle w:val="Normal.0"/>
        <w:ind w:left="210" w:firstLine="0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优秀指导老师奖：</w:t>
      </w:r>
      <w:r>
        <w:rPr>
          <w:rFonts w:ascii="Calibri" w:hAnsi="Calibr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项</w:t>
      </w:r>
    </w:p>
    <w:p>
      <w:pPr>
        <w:pStyle w:val="Normal.0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360" w:lineRule="auto"/>
        <w:rPr>
          <w:b w:val="1"/>
          <w:bCs w:val="1"/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奖品设置</w:t>
      </w:r>
    </w:p>
    <w:p>
      <w:pPr>
        <w:pStyle w:val="Normal.0"/>
        <w:spacing w:line="360" w:lineRule="auto"/>
        <w:rPr>
          <w:sz w:val="32"/>
          <w:szCs w:val="32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奖品内容：学校颁发的获奖荣誉证书（纸质版及电子版）</w:t>
      </w:r>
    </w:p>
    <w:p>
      <w:pPr>
        <w:pStyle w:val="Normal.0"/>
        <w:spacing w:line="360" w:lineRule="auto"/>
        <w:rPr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依据奖项设置，颁发校级获奖荣誉证书（特等奖、一等奖、二等奖、三等奖、最佳创新奖、最佳创意奖、最佳创业奖、优秀指导老师奖）</w:t>
      </w:r>
    </w:p>
    <w:p>
      <w:pPr>
        <w:pStyle w:val="Normal.0"/>
        <w:spacing w:line="36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TZhongsong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306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